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栏目1   黑土地保护水利工程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附件4）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exact"/>
              <w:ind w:firstLine="482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水利工程。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重要支流：洮南市蛟流河治理工程；中小河流4条：洮南市古树河治理工程、洮南市那金河治理工程、洮南市额木太河治理工程、洮南市汗河治理工程和霍林河北股（洮南市段）；吉林西部供水洮南片区初设批复建设内容以外补充工程：创业水库大坝金属结构维修养护工程，四海泡水库2、3号坝加固工程，小香海泡青年坝加固及东坝护坡工程，白石岭水库南侧护岸及底脚槽重建工程；中小型水库维修加固工程（安全鉴定后）：白石岭水库维修加固工程、创业水库维修加固工程、四海泡水库维修加固工程、架子台水库维修加固工程、泉眼泡水库维修加固工程和马场水库维修加固工程。</w:t>
            </w:r>
          </w:p>
          <w:p>
            <w:pPr>
              <w:spacing w:line="360" w:lineRule="exact"/>
              <w:ind w:firstLine="482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水土保持治理。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重点实施向阳街道建业村水土保持生态修复项目、胡力吐乡双庙村侵蚀沟综合治理项目、那金镇互利村敖宝山小流域综合治理项目、万宝镇北太平村封山洼小流域综合治理项目。</w:t>
            </w:r>
          </w:p>
          <w:p>
            <w:pPr>
              <w:spacing w:line="360" w:lineRule="exact"/>
              <w:ind w:firstLine="482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山洪灾害防御工程。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在北部半山区安装预警广播45台套，对中心机房及设施进行改造，同时对山洪灾害非工程措施进行升级、改造。</w:t>
            </w:r>
          </w:p>
          <w:p>
            <w:pPr>
              <w:spacing w:line="360" w:lineRule="exact"/>
              <w:ind w:firstLine="482"/>
              <w:rPr>
                <w:rFonts w:hint="eastAsia" w:ascii="仿宋" w:hAnsi="仿宋" w:eastAsia="仿宋" w:cs="仿宋"/>
                <w:smallCap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mallCaps/>
                <w:color w:val="000000"/>
                <w:sz w:val="24"/>
              </w:rPr>
              <w:t>“两区”建管护工程。</w:t>
            </w:r>
            <w:r>
              <w:rPr>
                <w:rFonts w:hint="eastAsia" w:ascii="仿宋" w:hAnsi="仿宋" w:eastAsia="仿宋" w:cs="仿宋"/>
                <w:smallCaps/>
                <w:color w:val="000000"/>
                <w:sz w:val="24"/>
              </w:rPr>
              <w:t>做好粮食生产功能区和重要农产品生产保护区划定、保护和建设工作，率先建立健全精准化建设、管护、管理和支持制度，优先支持“两区”建成高标准农田。加快构建“天空地”一体的现代农业生产、耕地质量监测的数字化体系。</w:t>
            </w:r>
          </w:p>
          <w:p>
            <w:pPr>
              <w:spacing w:line="360" w:lineRule="exact"/>
              <w:ind w:firstLine="482"/>
              <w:rPr>
                <w:rFonts w:hint="eastAsia" w:ascii="仿宋" w:hAnsi="仿宋" w:eastAsia="仿宋" w:cs="仿宋"/>
                <w:smallCap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mallCaps/>
                <w:color w:val="000000"/>
                <w:sz w:val="24"/>
              </w:rPr>
              <w:t>全程农机化示范工程。</w:t>
            </w:r>
            <w:r>
              <w:rPr>
                <w:rFonts w:hint="eastAsia" w:ascii="仿宋" w:hAnsi="仿宋" w:eastAsia="仿宋" w:cs="仿宋"/>
                <w:smallCaps/>
                <w:color w:val="000000"/>
                <w:sz w:val="24"/>
              </w:rPr>
              <w:t>优化农机装备结构，加快国家玉米生产全程机械化保护性耕作示范区建设，推进农机农艺结合，加快高效、节能、环保、智能型农机装备的推广应用。到2025年，全市农机总动力达到130万千瓦，拖拉机保有量达到4.5万台，机具配套比达到1:3，农业生产综合机械化水平达到98%以上，巩固、完善和提高全程农机化示范区面积100万亩，保护性耕作面积发展到180万亩，深松整地面积发展到200万亩，发展各类农机专业化合作组织150个，农业生产基本实现全程机械化作业。</w:t>
            </w:r>
          </w:p>
          <w:p>
            <w:pPr>
              <w:widowControl/>
              <w:spacing w:line="36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国家粮食安全战略基地。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推进60万亩高标准农田建设，建设一批有机水稻种植基地、有机鲜食玉米种植基地，实施盐碱地治理、吉林省洮南市全域土地综合整治试点等工程项目。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WQ2YmJkZDY4YzBiYjEzZmJiNjk0NTBlMzFlYjQifQ=="/>
  </w:docVars>
  <w:rsids>
    <w:rsidRoot w:val="35476A32"/>
    <w:rsid w:val="354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2023-12-14T01:51:00Z</dcterms:created>
  <dc:creator>Administrator</dc:creator>
  <cp:lastModifiedBy>Administrator</cp:lastModifiedBy>
  <dcterms:modified xsi:type="dcterms:W3CDTF">2023-12-14T01:51:57Z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B255C2C1DD384CEAA8B053EA0FDDCF13_11</vt:lpwstr>
  </property>
</Properties>
</file>