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  <w:t>洮南市黑土区耕地保护主要指标</w:t>
      </w:r>
    </w:p>
    <w:tbl>
      <w:tblPr>
        <w:tblStyle w:val="2"/>
        <w:tblW w:w="0" w:type="auto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5102"/>
        <w:gridCol w:w="750"/>
        <w:gridCol w:w="992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类别 </w:t>
            </w:r>
          </w:p>
        </w:tc>
        <w:tc>
          <w:tcPr>
            <w:tcW w:w="51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指标名称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指标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产能</w:t>
            </w:r>
          </w:p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指标</w:t>
            </w:r>
          </w:p>
        </w:tc>
        <w:tc>
          <w:tcPr>
            <w:tcW w:w="51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粮食产量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万吨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175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Merge w:val="restar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重点</w:t>
            </w:r>
          </w:p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任务</w:t>
            </w:r>
          </w:p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指标</w:t>
            </w:r>
          </w:p>
        </w:tc>
        <w:tc>
          <w:tcPr>
            <w:tcW w:w="51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黑土区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基本农田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面积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万亩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宋体" w:hAnsi="宋体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344.07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典型黑土区耕地保护面积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万亩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231.08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 xml:space="preserve">典型黑土区实施深翻+增施有机肥累计面积 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万亩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秸秆还田累计面积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万亩次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550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保护性耕作累计面积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万亩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784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高标准农田面积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含国有土地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万亩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230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Merge w:val="restar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耕地质量指标</w:t>
            </w:r>
          </w:p>
        </w:tc>
        <w:tc>
          <w:tcPr>
            <w:tcW w:w="51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典型黑土保护治理区土壤有机质含量平均提高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g/kg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0.1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耕地质量等级与 “十三五”初期相比提升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等级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0.1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约束性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ZWQ2YmJkZDY4YzBiYjEzZmJiNjk0NTBlMzFlYjQifQ=="/>
  </w:docVars>
  <w:rsids>
    <w:rsidRoot w:val="2DAE52E8"/>
    <w:rsid w:val="2DAE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2023-12-14T01:45:00Z</dcterms:created>
  <dc:creator>Administrator</dc:creator>
  <cp:lastModifiedBy>Administrator</cp:lastModifiedBy>
  <dcterms:modified xsi:type="dcterms:W3CDTF">2023-12-14T01:46:50Z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8AB018F91DBC488DB080E3775FE3AE2E_11</vt:lpwstr>
  </property>
</Properties>
</file>