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洮南市市场监督管理局</w:t>
      </w:r>
    </w:p>
    <w:p>
      <w:pPr>
        <w:jc w:val="center"/>
        <w:rPr>
          <w:rFonts w:hint="eastAsia" w:ascii="仿宋_GB2312" w:hAnsi="仿宋_GB2312" w:eastAsia="仿宋_GB2312" w:cs="仿宋_GB2312"/>
          <w:b/>
          <w:bCs/>
          <w:sz w:val="44"/>
          <w:szCs w:val="44"/>
          <w:lang w:val="en-US" w:eastAsia="zh-CN"/>
        </w:rPr>
      </w:pPr>
      <w:r>
        <w:rPr>
          <w:rFonts w:hint="eastAsia" w:ascii="宋体" w:hAnsi="宋体" w:eastAsia="宋体" w:cs="宋体"/>
          <w:b/>
          <w:bCs/>
          <w:sz w:val="44"/>
          <w:szCs w:val="44"/>
          <w:lang w:val="en-US" w:eastAsia="zh-CN"/>
        </w:rPr>
        <w:t>2021年政府信息公开工作年度报告</w:t>
      </w:r>
    </w:p>
    <w:p>
      <w:pPr>
        <w:numPr>
          <w:ilvl w:val="0"/>
          <w:numId w:val="0"/>
        </w:numPr>
        <w:jc w:val="both"/>
        <w:rPr>
          <w:rFonts w:hint="eastAsia" w:ascii="仿宋_GB2312" w:hAnsi="仿宋_GB2312" w:eastAsia="仿宋_GB2312" w:cs="仿宋_GB2312"/>
          <w:b w:val="0"/>
          <w:bCs w:val="0"/>
          <w:sz w:val="32"/>
          <w:szCs w:val="32"/>
          <w:lang w:val="en-US" w:eastAsia="zh-CN"/>
        </w:rPr>
      </w:pP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根据《中华人民共和国政府信息公开条例》（以下简称《条例》）第五十条规定，现公布洮南市市场监督管理局2021年度政府信息公开工作年度报告。</w:t>
      </w:r>
    </w:p>
    <w:p>
      <w:pPr>
        <w:numPr>
          <w:ilvl w:val="0"/>
          <w:numId w:val="1"/>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总体情况</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洮南市市场监督管理局以习近平新时代中国特色社会主义思想为指导，全面贯彻落实《政府信息公开条例》，以公开为常态，不公开为例外，加强政府信息资源的规范化、标准化、信息化管理，加强互联网政府信息公开平台建设，大力推进政府信息精准公开，全方位回应公众关切，助力深化“放管服”改革、优化营商环境，提高依法行政和政务服务水平。全年累计发布政府公开信息47条，召开专题会议4次，通过线上线下方式培训工作人员240余人次，达到了本年度政府信息公开工作要求。</w:t>
      </w:r>
    </w:p>
    <w:p>
      <w:pPr>
        <w:widowControl/>
        <w:numPr>
          <w:ilvl w:val="0"/>
          <w:numId w:val="1"/>
        </w:numPr>
        <w:shd w:val="clear" w:color="auto" w:fill="FFFFFF"/>
        <w:spacing w:after="240"/>
        <w:ind w:left="0" w:leftChars="0"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主动公开政府信息情况</w:t>
      </w:r>
    </w:p>
    <w:tbl>
      <w:tblPr>
        <w:tblStyle w:val="5"/>
        <w:tblW w:w="8140" w:type="dxa"/>
        <w:jc w:val="center"/>
        <w:tblLayout w:type="autofit"/>
        <w:tblCellMar>
          <w:top w:w="0" w:type="dxa"/>
          <w:left w:w="0" w:type="dxa"/>
          <w:bottom w:w="0" w:type="dxa"/>
          <w:right w:w="0" w:type="dxa"/>
        </w:tblCellMar>
      </w:tblPr>
      <w:tblGrid>
        <w:gridCol w:w="2222"/>
        <w:gridCol w:w="1972"/>
        <w:gridCol w:w="1972"/>
        <w:gridCol w:w="1974"/>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7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197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197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523"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97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7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7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197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7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7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5918"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528"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591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5918"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591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591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591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551" w:hRule="atLeast"/>
          <w:jc w:val="center"/>
        </w:trPr>
        <w:tc>
          <w:tcPr>
            <w:tcW w:w="222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5918"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643" w:firstLineChars="200"/>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0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08"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8" w:hRule="atLeast"/>
          <w:jc w:val="center"/>
        </w:trPr>
        <w:tc>
          <w:tcPr>
            <w:tcW w:w="382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31" w:hRule="atLeast"/>
          <w:jc w:val="center"/>
        </w:trPr>
        <w:tc>
          <w:tcPr>
            <w:tcW w:w="382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69"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526"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3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16"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3829"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6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9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70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Calibri"/>
                <w:kern w:val="0"/>
                <w:sz w:val="20"/>
                <w:szCs w:val="20"/>
                <w:lang w:val="en-US" w:eastAsia="zh-CN"/>
              </w:rPr>
              <w:t>0</w:t>
            </w:r>
            <w:r>
              <w:rPr>
                <w:rFonts w:ascii="Calibri" w:hAnsi="Calibri" w:eastAsia="宋体" w:cs="Calibri"/>
                <w:kern w:val="0"/>
                <w:sz w:val="20"/>
                <w:szCs w:val="20"/>
              </w:rPr>
              <w:t> </w:t>
            </w:r>
          </w:p>
        </w:tc>
        <w:tc>
          <w:tcPr>
            <w:tcW w:w="5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bl>
    <w:p>
      <w:pPr>
        <w:widowControl/>
        <w:shd w:val="clear" w:color="auto" w:fill="FFFFFF"/>
        <w:ind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eastAsia="zh-CN"/>
        </w:rPr>
        <w:t>四、</w:t>
      </w:r>
      <w:r>
        <w:rPr>
          <w:rFonts w:hint="eastAsia" w:ascii="黑体" w:hAnsi="黑体" w:eastAsia="黑体" w:cs="黑体"/>
          <w:b w:val="0"/>
          <w:bCs w:val="0"/>
          <w:color w:val="333333"/>
          <w:kern w:val="0"/>
          <w:sz w:val="32"/>
          <w:szCs w:val="32"/>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bookmarkStart w:id="0" w:name="_GoBack" w:colFirst="0" w:colLast="14"/>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rPr>
          <w:jc w:val="center"/>
        </w:trPr>
        <w:tc>
          <w:tcPr>
            <w:tcW w:w="604"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rPr>
          <w:trHeight w:val="696" w:hRule="atLeast"/>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Cs w:val="24"/>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Cs w:val="24"/>
                <w:lang w:val="en-US" w:eastAsia="zh-CN"/>
              </w:rPr>
              <w:t>0</w:t>
            </w:r>
          </w:p>
        </w:tc>
      </w:tr>
      <w:bookmarkEnd w:id="0"/>
    </w:tbl>
    <w:p>
      <w:pPr>
        <w:widowControl/>
        <w:numPr>
          <w:ilvl w:val="0"/>
          <w:numId w:val="2"/>
        </w:numPr>
        <w:shd w:val="clear" w:color="auto" w:fill="FFFFFF"/>
        <w:ind w:firstLine="640" w:firstLineChars="200"/>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存在的主要问题及改进情况</w:t>
      </w:r>
    </w:p>
    <w:p>
      <w:pPr>
        <w:pStyle w:val="4"/>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right="0" w:firstLine="643" w:firstLineChars="200"/>
        <w:jc w:val="both"/>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楷体_GB2312" w:hAnsi="楷体_GB2312" w:eastAsia="楷体_GB2312" w:cs="楷体_GB2312"/>
          <w:b/>
          <w:bCs/>
          <w:color w:val="333333"/>
          <w:kern w:val="0"/>
          <w:sz w:val="32"/>
          <w:szCs w:val="32"/>
          <w:lang w:val="en-US" w:eastAsia="zh-CN"/>
        </w:rPr>
        <w:t>（一）存在问题。</w:t>
      </w:r>
      <w:r>
        <w:rPr>
          <w:rFonts w:hint="eastAsia" w:ascii="仿宋_GB2312" w:hAnsi="仿宋_GB2312" w:eastAsia="仿宋_GB2312" w:cs="仿宋_GB2312"/>
          <w:b w:val="0"/>
          <w:bCs w:val="0"/>
          <w:color w:val="333333"/>
          <w:kern w:val="0"/>
          <w:sz w:val="32"/>
          <w:szCs w:val="32"/>
          <w:lang w:val="en-US" w:eastAsia="zh-CN"/>
        </w:rPr>
        <w:t>市监局的政府信息公开工作认真、规范，扎实有效，但与《条例》有关规定和省、市有关要求相比，与社会公众的需求相比，仍有差距。主要体现在：</w:t>
      </w:r>
      <w:r>
        <w:rPr>
          <w:rFonts w:hint="eastAsia" w:ascii="仿宋_GB2312" w:hAnsi="仿宋_GB2312" w:eastAsia="仿宋_GB2312" w:cs="仿宋_GB2312"/>
          <w:b/>
          <w:bCs/>
          <w:color w:val="333333"/>
          <w:kern w:val="0"/>
          <w:sz w:val="32"/>
          <w:szCs w:val="32"/>
          <w:lang w:val="en-US" w:eastAsia="zh-CN"/>
        </w:rPr>
        <w:t>一是</w:t>
      </w:r>
      <w:r>
        <w:rPr>
          <w:rFonts w:hint="eastAsia" w:ascii="仿宋_GB2312" w:hAnsi="仿宋_GB2312" w:eastAsia="仿宋_GB2312" w:cs="仿宋_GB2312"/>
          <w:b w:val="0"/>
          <w:bCs w:val="0"/>
          <w:color w:val="333333"/>
          <w:kern w:val="0"/>
          <w:sz w:val="32"/>
          <w:szCs w:val="32"/>
          <w:lang w:val="en-US" w:eastAsia="zh-CN"/>
        </w:rPr>
        <w:t>对部分政策信息解读方式有待创新，公开信息的针对性和有效性还需进一步加强。</w:t>
      </w:r>
      <w:r>
        <w:rPr>
          <w:rFonts w:hint="eastAsia" w:ascii="仿宋_GB2312" w:hAnsi="仿宋_GB2312" w:eastAsia="仿宋_GB2312" w:cs="仿宋_GB2312"/>
          <w:b/>
          <w:bCs/>
          <w:color w:val="333333"/>
          <w:kern w:val="0"/>
          <w:sz w:val="32"/>
          <w:szCs w:val="32"/>
          <w:lang w:val="en-US" w:eastAsia="zh-CN"/>
        </w:rPr>
        <w:t>二是</w:t>
      </w:r>
      <w:r>
        <w:rPr>
          <w:rFonts w:hint="eastAsia" w:ascii="仿宋_GB2312" w:hAnsi="仿宋_GB2312" w:eastAsia="仿宋_GB2312" w:cs="仿宋_GB2312"/>
          <w:b w:val="0"/>
          <w:bCs w:val="0"/>
          <w:color w:val="333333"/>
          <w:kern w:val="0"/>
          <w:sz w:val="32"/>
          <w:szCs w:val="32"/>
          <w:lang w:val="en-US" w:eastAsia="zh-CN"/>
        </w:rPr>
        <w:t>对新修订《政府信息公开条例》部分条款的理解还不够深入。</w:t>
      </w:r>
      <w:r>
        <w:rPr>
          <w:rFonts w:hint="eastAsia" w:ascii="仿宋_GB2312" w:hAnsi="仿宋_GB2312" w:eastAsia="仿宋_GB2312" w:cs="仿宋_GB2312"/>
          <w:b/>
          <w:bCs/>
          <w:color w:val="333333"/>
          <w:kern w:val="0"/>
          <w:sz w:val="32"/>
          <w:szCs w:val="32"/>
          <w:lang w:val="en-US" w:eastAsia="zh-CN"/>
        </w:rPr>
        <w:t>三是</w:t>
      </w:r>
      <w:r>
        <w:rPr>
          <w:rFonts w:hint="eastAsia" w:ascii="仿宋_GB2312" w:hAnsi="仿宋_GB2312" w:eastAsia="仿宋_GB2312" w:cs="仿宋_GB2312"/>
          <w:b w:val="0"/>
          <w:bCs w:val="0"/>
          <w:color w:val="333333"/>
          <w:kern w:val="0"/>
          <w:sz w:val="32"/>
          <w:szCs w:val="32"/>
          <w:lang w:val="en-US" w:eastAsia="zh-CN"/>
        </w:rPr>
        <w:t>政府信息内容主动公开的种类、数量还不够丰富。</w:t>
      </w:r>
    </w:p>
    <w:p>
      <w:pPr>
        <w:numPr>
          <w:ilvl w:val="0"/>
          <w:numId w:val="0"/>
        </w:numPr>
        <w:ind w:firstLine="643" w:firstLineChars="200"/>
        <w:jc w:val="both"/>
        <w:rPr>
          <w:rFonts w:hint="eastAsia" w:ascii="黑体" w:hAnsi="黑体" w:eastAsia="黑体" w:cs="黑体"/>
          <w:b w:val="0"/>
          <w:bCs w:val="0"/>
          <w:sz w:val="32"/>
          <w:szCs w:val="32"/>
          <w:lang w:val="en-US" w:eastAsia="zh-CN"/>
        </w:rPr>
      </w:pPr>
      <w:r>
        <w:rPr>
          <w:rFonts w:hint="eastAsia" w:ascii="楷体_GB2312" w:hAnsi="楷体_GB2312" w:eastAsia="楷体_GB2312" w:cs="楷体_GB2312"/>
          <w:b/>
          <w:bCs/>
          <w:color w:val="333333"/>
          <w:kern w:val="0"/>
          <w:sz w:val="32"/>
          <w:szCs w:val="32"/>
          <w:lang w:val="en-US" w:eastAsia="zh-CN"/>
        </w:rPr>
        <w:t>（二）改进情况</w:t>
      </w:r>
      <w:r>
        <w:rPr>
          <w:rFonts w:hint="eastAsia" w:ascii="仿宋_GB2312" w:hAnsi="仿宋_GB2312" w:eastAsia="仿宋_GB2312" w:cs="仿宋_GB2312"/>
          <w:b w:val="0"/>
          <w:bCs w:val="0"/>
          <w:color w:val="333333"/>
          <w:kern w:val="0"/>
          <w:sz w:val="32"/>
          <w:szCs w:val="32"/>
          <w:lang w:val="en-US" w:eastAsia="zh-CN"/>
        </w:rPr>
        <w:t>。</w:t>
      </w:r>
      <w:r>
        <w:rPr>
          <w:rFonts w:hint="eastAsia" w:ascii="仿宋_GB2312" w:hAnsi="仿宋_GB2312" w:eastAsia="仿宋_GB2312" w:cs="仿宋_GB2312"/>
          <w:b/>
          <w:bCs/>
          <w:color w:val="333333"/>
          <w:kern w:val="0"/>
          <w:sz w:val="32"/>
          <w:szCs w:val="32"/>
          <w:lang w:val="en-US" w:eastAsia="zh-CN"/>
        </w:rPr>
        <w:t>一是</w:t>
      </w:r>
      <w:r>
        <w:rPr>
          <w:rFonts w:hint="eastAsia" w:ascii="仿宋_GB2312" w:hAnsi="仿宋_GB2312" w:eastAsia="仿宋_GB2312" w:cs="仿宋_GB2312"/>
          <w:b w:val="0"/>
          <w:bCs w:val="0"/>
          <w:color w:val="333333"/>
          <w:kern w:val="0"/>
          <w:sz w:val="32"/>
          <w:szCs w:val="32"/>
          <w:lang w:val="en-US" w:eastAsia="zh-CN"/>
        </w:rPr>
        <w:t>创新公开服务。认真解读相关政策信息，提升信息发布、解读的整体水平，及时准确发布文件，切实提高信息发布的针对性和有效性。二</w:t>
      </w:r>
      <w:r>
        <w:rPr>
          <w:rFonts w:hint="eastAsia" w:ascii="仿宋_GB2312" w:hAnsi="仿宋_GB2312" w:eastAsia="仿宋_GB2312" w:cs="仿宋_GB2312"/>
          <w:b/>
          <w:bCs/>
          <w:color w:val="333333"/>
          <w:kern w:val="0"/>
          <w:sz w:val="32"/>
          <w:szCs w:val="32"/>
          <w:lang w:val="en-US" w:eastAsia="zh-CN"/>
        </w:rPr>
        <w:t>是</w:t>
      </w:r>
      <w:r>
        <w:rPr>
          <w:rFonts w:hint="eastAsia" w:ascii="仿宋_GB2312" w:hAnsi="仿宋_GB2312" w:eastAsia="仿宋_GB2312" w:cs="仿宋_GB2312"/>
          <w:b w:val="0"/>
          <w:bCs w:val="0"/>
          <w:color w:val="333333"/>
          <w:kern w:val="0"/>
          <w:sz w:val="32"/>
          <w:szCs w:val="32"/>
          <w:lang w:val="en-US" w:eastAsia="zh-CN"/>
        </w:rPr>
        <w:t>开展集中学习和培训会议。帮助全员吃透《条例》精神，认真研究省、市相关文件内容，深入做好《条例》的贯彻执行，规范公开行为。</w:t>
      </w:r>
      <w:r>
        <w:rPr>
          <w:rFonts w:hint="eastAsia" w:ascii="仿宋_GB2312" w:hAnsi="仿宋_GB2312" w:eastAsia="仿宋_GB2312" w:cs="仿宋_GB2312"/>
          <w:b/>
          <w:bCs/>
          <w:color w:val="333333"/>
          <w:kern w:val="0"/>
          <w:sz w:val="32"/>
          <w:szCs w:val="32"/>
          <w:lang w:val="en-US" w:eastAsia="zh-CN"/>
        </w:rPr>
        <w:t>三是</w:t>
      </w:r>
      <w:r>
        <w:rPr>
          <w:rFonts w:hint="eastAsia" w:ascii="仿宋_GB2312" w:eastAsia="仿宋_GB2312"/>
          <w:sz w:val="32"/>
          <w:szCs w:val="32"/>
          <w:lang w:eastAsia="zh-CN"/>
        </w:rPr>
        <w:t>积极开展对外交流学习。安排业务骨干到政务服务局等部门学习、交流相关工作经验，提高政府信息公开工作的主动性，丰富主动公开内容，</w:t>
      </w:r>
      <w:r>
        <w:rPr>
          <w:rFonts w:hint="eastAsia" w:ascii="仿宋_GB2312" w:hAnsi="仿宋_GB2312" w:eastAsia="仿宋_GB2312" w:cs="仿宋_GB2312"/>
          <w:b w:val="0"/>
          <w:bCs w:val="0"/>
          <w:color w:val="333333"/>
          <w:kern w:val="0"/>
          <w:sz w:val="32"/>
          <w:szCs w:val="32"/>
          <w:lang w:val="en-US" w:eastAsia="zh-CN"/>
        </w:rPr>
        <w:t>确保“应公开、尽公开”。</w:t>
      </w:r>
    </w:p>
    <w:p>
      <w:pPr>
        <w:numPr>
          <w:ilvl w:val="0"/>
          <w:numId w:val="2"/>
        </w:numPr>
        <w:ind w:left="0" w:leftChars="0"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其他需要报告的事项</w:t>
      </w:r>
    </w:p>
    <w:p>
      <w:pPr>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无。</w:t>
      </w:r>
    </w:p>
    <w:p>
      <w:pPr>
        <w:numPr>
          <w:ilvl w:val="0"/>
          <w:numId w:val="0"/>
        </w:numPr>
        <w:ind w:firstLine="640"/>
        <w:jc w:val="both"/>
        <w:rPr>
          <w:rFonts w:hint="eastAsia" w:ascii="仿宋_GB2312" w:hAnsi="仿宋_GB2312" w:eastAsia="仿宋_GB2312" w:cs="仿宋_GB2312"/>
          <w:b w:val="0"/>
          <w:bCs w:val="0"/>
          <w:sz w:val="32"/>
          <w:szCs w:val="32"/>
          <w:lang w:val="en-US" w:eastAsia="zh-CN"/>
        </w:rPr>
      </w:pPr>
    </w:p>
    <w:p>
      <w:pPr>
        <w:numPr>
          <w:ilvl w:val="0"/>
          <w:numId w:val="0"/>
        </w:numPr>
        <w:ind w:firstLine="640"/>
        <w:jc w:val="both"/>
        <w:rPr>
          <w:rFonts w:hint="eastAsia" w:ascii="仿宋_GB2312" w:hAnsi="仿宋_GB2312" w:eastAsia="仿宋_GB2312" w:cs="仿宋_GB2312"/>
          <w:b w:val="0"/>
          <w:bCs w:val="0"/>
          <w:sz w:val="32"/>
          <w:szCs w:val="32"/>
          <w:lang w:val="en-US" w:eastAsia="zh-CN"/>
        </w:rPr>
      </w:pPr>
    </w:p>
    <w:p>
      <w:pPr>
        <w:numPr>
          <w:ilvl w:val="0"/>
          <w:numId w:val="0"/>
        </w:numPr>
        <w:ind w:firstLine="3846" w:firstLineChars="1202"/>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洮南市市场监督管理局</w:t>
      </w:r>
    </w:p>
    <w:p>
      <w:pPr>
        <w:numPr>
          <w:ilvl w:val="0"/>
          <w:numId w:val="0"/>
        </w:numPr>
        <w:ind w:firstLine="4166" w:firstLineChars="1302"/>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2022年1月19日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AEBA8"/>
    <w:multiLevelType w:val="singleLevel"/>
    <w:tmpl w:val="041AEBA8"/>
    <w:lvl w:ilvl="0" w:tentative="0">
      <w:start w:val="1"/>
      <w:numFmt w:val="chineseCounting"/>
      <w:suff w:val="nothing"/>
      <w:lvlText w:val="%1、"/>
      <w:lvlJc w:val="left"/>
      <w:rPr>
        <w:rFonts w:hint="eastAsia"/>
      </w:rPr>
    </w:lvl>
  </w:abstractNum>
  <w:abstractNum w:abstractNumId="1">
    <w:nsid w:val="62EA306C"/>
    <w:multiLevelType w:val="singleLevel"/>
    <w:tmpl w:val="62EA306C"/>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57DCE"/>
    <w:rsid w:val="04D67A46"/>
    <w:rsid w:val="18FB37D2"/>
    <w:rsid w:val="324A07C4"/>
    <w:rsid w:val="439C26F1"/>
    <w:rsid w:val="4562418A"/>
    <w:rsid w:val="5FF01A5C"/>
    <w:rsid w:val="69600069"/>
    <w:rsid w:val="6CC248AF"/>
    <w:rsid w:val="715E6E9C"/>
    <w:rsid w:val="7B096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样式 正文11 + 首行缩进:  2 字符"/>
    <w:basedOn w:val="1"/>
    <w:qFormat/>
    <w:uiPriority w:val="99"/>
    <w:pPr>
      <w:spacing w:line="500" w:lineRule="exact"/>
      <w:ind w:firstLine="560" w:firstLineChars="200"/>
    </w:pPr>
    <w:rPr>
      <w:rFonts w:ascii="宋体" w:hAnsi="宋体" w:cs="宋体"/>
      <w:color w:val="FF000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2021-01-25T00:41:00Z</dcterms:created>
  <dc:creator>Administrator</dc:creator>
  <cp:lastModifiedBy>Straightman</cp:lastModifiedBy>
  <cp:lastPrinted>2022-01-19T01:42:00Z</cp:lastPrinted>
  <dcterms:modified xsi:type="dcterms:W3CDTF">2022-01-19T06:39:43Z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FA4324C9946E4182AFF724307834ADAF</vt:lpwstr>
  </property>
</Properties>
</file>