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洮南市市场监督管理局</w:t>
      </w:r>
    </w:p>
    <w:p>
      <w:pPr>
        <w:jc w:val="center"/>
        <w:rPr>
          <w:rFonts w:hint="eastAsia" w:ascii="仿宋_GB2312" w:hAnsi="仿宋_GB2312" w:eastAsia="仿宋_GB2312" w:cs="仿宋_GB2312"/>
          <w:b/>
          <w:bCs/>
          <w:sz w:val="44"/>
          <w:szCs w:val="44"/>
          <w:lang w:val="en-US" w:eastAsia="zh-CN"/>
        </w:rPr>
      </w:pPr>
      <w:r>
        <w:rPr>
          <w:rFonts w:hint="eastAsia" w:ascii="宋体" w:hAnsi="宋体" w:eastAsia="宋体" w:cs="宋体"/>
          <w:b/>
          <w:bCs/>
          <w:sz w:val="44"/>
          <w:szCs w:val="44"/>
          <w:lang w:val="en-US" w:eastAsia="zh-CN"/>
        </w:rPr>
        <w:t>2020年政府信息公开工作年度报告</w:t>
      </w: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政府信息公开条例》（以下简称《条例》）以及《吉林省人民政府办公厅关于做好2020年度政府信息公开工作年度报告编制和发布有关事项的通知》（吉政厅函[2020]63号）要求，结合白城市，洮南市委、市政府统一工作部署，现公布洮南市市场监督管理局2020年度政府信息公开工作年度报告。</w:t>
      </w:r>
    </w:p>
    <w:p>
      <w:pPr>
        <w:numPr>
          <w:ilvl w:val="0"/>
          <w:numId w:val="1"/>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总体情况</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以来，市监局积极推行决策公开、执行公开、管理公开、服务公开和结果公开。继续坚持围绕中心、服务群众、依法行政、高效有序的工作模式，以“公开为常态、不公开为例外”为宗旨，多措并举，认真贯彻落实《条例》精神。先后制定了《洮南市市场监督管理局关于做好政府信息公开条例宣传贯彻工作的实施方案》《洮南市食品药品安全监管领域基层服务公开标准化工作实施方案》等多个文件，并将政府信息公开工作纳入年终绩效考核重要内容。全年累计发布政府公开信息69条，召开专题会议4次，通过线上线下方式培训工作人员240余人次，达到了本年度政府信息公开工作要求。</w:t>
      </w:r>
    </w:p>
    <w:p>
      <w:pPr>
        <w:widowControl/>
        <w:shd w:val="clear" w:color="auto" w:fill="FFFFFF"/>
        <w:spacing w:after="240"/>
        <w:ind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45</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减45</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5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p>
        </w:tc>
        <w:tc>
          <w:tcPr>
            <w:tcW w:w="315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5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15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39" w:hRule="atLeast"/>
          <w:jc w:val="center"/>
        </w:trPr>
        <w:tc>
          <w:tcPr>
            <w:tcW w:w="8140"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color w:val="000000"/>
                <w:kern w:val="0"/>
                <w:sz w:val="18"/>
                <w:szCs w:val="18"/>
              </w:rPr>
              <w:t>2020年本行政区域（或本部门）政府信息公开发布总数量（非新闻类、消息类）：</w:t>
            </w:r>
            <w:r>
              <w:rPr>
                <w:rFonts w:hint="eastAsia" w:ascii="宋体" w:hAnsi="宋体" w:eastAsia="宋体" w:cs="宋体"/>
                <w:color w:val="000000"/>
                <w:kern w:val="0"/>
                <w:sz w:val="18"/>
                <w:szCs w:val="18"/>
                <w:lang w:val="en-US" w:eastAsia="zh-CN"/>
              </w:rPr>
              <w:t>69</w:t>
            </w:r>
          </w:p>
        </w:tc>
      </w:tr>
    </w:tbl>
    <w:p>
      <w:pPr>
        <w:widowControl/>
        <w:shd w:val="clear" w:color="auto" w:fill="FFFFFF"/>
        <w:spacing w:after="240"/>
        <w:ind w:firstLine="643" w:firstLineChars="200"/>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31" w:hRule="atLeast"/>
          <w:jc w:val="center"/>
        </w:trPr>
        <w:tc>
          <w:tcPr>
            <w:tcW w:w="382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bookmarkStart w:id="0" w:name="_GoBack"/>
            <w:bookmarkEnd w:id="0"/>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16"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382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bl>
    <w:p>
      <w:pPr>
        <w:widowControl/>
        <w:shd w:val="clear" w:color="auto" w:fill="FFFFFF"/>
        <w:ind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eastAsia="zh-CN"/>
        </w:rPr>
        <w:t>四、</w:t>
      </w:r>
      <w:r>
        <w:rPr>
          <w:rFonts w:hint="eastAsia" w:ascii="黑体" w:hAnsi="黑体" w:eastAsia="黑体" w:cs="黑体"/>
          <w:b w:val="0"/>
          <w:bCs w:val="0"/>
          <w:color w:val="333333"/>
          <w:kern w:val="0"/>
          <w:sz w:val="32"/>
          <w:szCs w:val="32"/>
        </w:rPr>
        <w:t>政府信息公开行政复议、行政诉讼情况</w:t>
      </w: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bl>
    <w:p>
      <w:pPr>
        <w:widowControl/>
        <w:numPr>
          <w:ilvl w:val="0"/>
          <w:numId w:val="2"/>
        </w:numPr>
        <w:shd w:val="clear" w:color="auto" w:fill="FFFFFF"/>
        <w:ind w:firstLine="640" w:firstLineChars="200"/>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存在的主要问题及改进情况</w:t>
      </w:r>
    </w:p>
    <w:p>
      <w:pPr>
        <w:widowControl/>
        <w:numPr>
          <w:ilvl w:val="0"/>
          <w:numId w:val="0"/>
        </w:numPr>
        <w:shd w:val="clear" w:color="auto" w:fill="FFFFFF"/>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市监局的政府信息公开工作认真、规范，扎实有效，但与《条例》有关规定和省、市有关要求相比，与社会公众的需求相比，仍有差距。主要体现在：</w:t>
      </w:r>
      <w:r>
        <w:rPr>
          <w:rFonts w:hint="eastAsia" w:ascii="仿宋_GB2312" w:hAnsi="仿宋_GB2312" w:eastAsia="仿宋_GB2312" w:cs="仿宋_GB2312"/>
          <w:b/>
          <w:bCs/>
          <w:color w:val="333333"/>
          <w:kern w:val="0"/>
          <w:sz w:val="32"/>
          <w:szCs w:val="32"/>
          <w:lang w:val="en-US" w:eastAsia="zh-CN"/>
        </w:rPr>
        <w:t>一是</w:t>
      </w:r>
      <w:r>
        <w:rPr>
          <w:rFonts w:hint="eastAsia" w:ascii="仿宋_GB2312" w:hAnsi="仿宋_GB2312" w:eastAsia="仿宋_GB2312" w:cs="仿宋_GB2312"/>
          <w:b w:val="0"/>
          <w:bCs w:val="0"/>
          <w:color w:val="333333"/>
          <w:kern w:val="0"/>
          <w:sz w:val="32"/>
          <w:szCs w:val="32"/>
          <w:lang w:val="en-US" w:eastAsia="zh-CN"/>
        </w:rPr>
        <w:t>政府信息内容主动公开的种类、数量还不够丰富；</w:t>
      </w:r>
      <w:r>
        <w:rPr>
          <w:rFonts w:hint="eastAsia" w:ascii="仿宋_GB2312" w:hAnsi="仿宋_GB2312" w:eastAsia="仿宋_GB2312" w:cs="仿宋_GB2312"/>
          <w:b/>
          <w:bCs/>
          <w:color w:val="333333"/>
          <w:kern w:val="0"/>
          <w:sz w:val="32"/>
          <w:szCs w:val="32"/>
          <w:lang w:val="en-US" w:eastAsia="zh-CN"/>
        </w:rPr>
        <w:t>二是</w:t>
      </w:r>
      <w:r>
        <w:rPr>
          <w:rFonts w:hint="eastAsia" w:ascii="仿宋_GB2312" w:hAnsi="仿宋_GB2312" w:eastAsia="仿宋_GB2312" w:cs="仿宋_GB2312"/>
          <w:b w:val="0"/>
          <w:bCs w:val="0"/>
          <w:color w:val="333333"/>
          <w:kern w:val="0"/>
          <w:sz w:val="32"/>
          <w:szCs w:val="32"/>
          <w:lang w:val="en-US" w:eastAsia="zh-CN"/>
        </w:rPr>
        <w:t>对信息公开工作的人力、物力投入还不够大；</w:t>
      </w:r>
      <w:r>
        <w:rPr>
          <w:rFonts w:hint="eastAsia" w:ascii="仿宋_GB2312" w:hAnsi="仿宋_GB2312" w:eastAsia="仿宋_GB2312" w:cs="仿宋_GB2312"/>
          <w:b/>
          <w:bCs/>
          <w:color w:val="333333"/>
          <w:kern w:val="0"/>
          <w:sz w:val="32"/>
          <w:szCs w:val="32"/>
          <w:lang w:val="en-US" w:eastAsia="zh-CN"/>
        </w:rPr>
        <w:t>三是</w:t>
      </w:r>
      <w:r>
        <w:rPr>
          <w:rFonts w:hint="eastAsia" w:ascii="仿宋_GB2312" w:hAnsi="仿宋_GB2312" w:eastAsia="仿宋_GB2312" w:cs="仿宋_GB2312"/>
          <w:b w:val="0"/>
          <w:bCs w:val="0"/>
          <w:color w:val="333333"/>
          <w:kern w:val="0"/>
          <w:sz w:val="32"/>
          <w:szCs w:val="32"/>
          <w:lang w:val="en-US" w:eastAsia="zh-CN"/>
        </w:rPr>
        <w:t>政府信息公开工作的思路和模式还有待进一步探索。</w:t>
      </w:r>
    </w:p>
    <w:p>
      <w:pPr>
        <w:widowControl/>
        <w:numPr>
          <w:ilvl w:val="0"/>
          <w:numId w:val="0"/>
        </w:numPr>
        <w:shd w:val="clear" w:color="auto" w:fill="FFFFFF"/>
        <w:ind w:firstLine="640" w:firstLineChars="200"/>
        <w:rPr>
          <w:rFonts w:hint="default"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对此，市监局制定并执行了如下整改措施：</w:t>
      </w:r>
      <w:r>
        <w:rPr>
          <w:rFonts w:hint="eastAsia" w:ascii="仿宋_GB2312" w:hAnsi="仿宋_GB2312" w:eastAsia="仿宋_GB2312" w:cs="仿宋_GB2312"/>
          <w:b/>
          <w:bCs/>
          <w:color w:val="333333"/>
          <w:kern w:val="0"/>
          <w:sz w:val="32"/>
          <w:szCs w:val="32"/>
          <w:lang w:val="en-US" w:eastAsia="zh-CN"/>
        </w:rPr>
        <w:t>一是</w:t>
      </w:r>
      <w:r>
        <w:rPr>
          <w:rFonts w:hint="eastAsia" w:ascii="仿宋_GB2312" w:hAnsi="仿宋_GB2312" w:eastAsia="仿宋_GB2312" w:cs="仿宋_GB2312"/>
          <w:b w:val="0"/>
          <w:bCs w:val="0"/>
          <w:color w:val="333333"/>
          <w:kern w:val="0"/>
          <w:sz w:val="32"/>
          <w:szCs w:val="32"/>
          <w:lang w:val="en-US" w:eastAsia="zh-CN"/>
        </w:rPr>
        <w:t>开展集中学习和培训会议。要求全员吃透《条例》精神，认真研究省、市相关文件内容，划清主动公开信息“边界”，切实做到能公开的全面公开。</w:t>
      </w:r>
      <w:r>
        <w:rPr>
          <w:rFonts w:hint="eastAsia" w:ascii="仿宋_GB2312" w:hAnsi="仿宋_GB2312" w:eastAsia="仿宋_GB2312" w:cs="仿宋_GB2312"/>
          <w:b/>
          <w:bCs/>
          <w:color w:val="333333"/>
          <w:kern w:val="0"/>
          <w:sz w:val="32"/>
          <w:szCs w:val="32"/>
          <w:lang w:val="en-US" w:eastAsia="zh-CN"/>
        </w:rPr>
        <w:t>二是</w:t>
      </w:r>
      <w:r>
        <w:rPr>
          <w:rFonts w:hint="eastAsia" w:ascii="仿宋_GB2312" w:hAnsi="仿宋_GB2312" w:eastAsia="仿宋_GB2312" w:cs="仿宋_GB2312"/>
          <w:b w:val="0"/>
          <w:bCs w:val="0"/>
          <w:color w:val="333333"/>
          <w:kern w:val="0"/>
          <w:sz w:val="32"/>
          <w:szCs w:val="32"/>
          <w:lang w:val="en-US" w:eastAsia="zh-CN"/>
        </w:rPr>
        <w:t>强化组织领导。调整</w:t>
      </w:r>
      <w:r>
        <w:rPr>
          <w:rFonts w:hint="eastAsia" w:ascii="仿宋_GB2312" w:eastAsia="仿宋_GB2312"/>
          <w:sz w:val="32"/>
          <w:szCs w:val="32"/>
          <w:lang w:eastAsia="zh-CN"/>
        </w:rPr>
        <w:t>政务公开领导小组人员，抽调精干力量，明确责任分工，升级相关设备，提高工作效能。</w:t>
      </w:r>
      <w:r>
        <w:rPr>
          <w:rFonts w:hint="eastAsia" w:ascii="仿宋_GB2312" w:hAnsi="仿宋_GB2312" w:eastAsia="仿宋_GB2312" w:cs="仿宋_GB2312"/>
          <w:b/>
          <w:bCs/>
          <w:color w:val="333333"/>
          <w:kern w:val="0"/>
          <w:sz w:val="32"/>
          <w:szCs w:val="32"/>
          <w:lang w:val="en-US" w:eastAsia="zh-CN"/>
        </w:rPr>
        <w:t>三是</w:t>
      </w:r>
      <w:r>
        <w:rPr>
          <w:rFonts w:hint="eastAsia" w:ascii="仿宋_GB2312" w:eastAsia="仿宋_GB2312"/>
          <w:sz w:val="32"/>
          <w:szCs w:val="32"/>
          <w:lang w:eastAsia="zh-CN"/>
        </w:rPr>
        <w:t>积极开展对外交流学习。多次安排业务骨干到政务服务局等部门学习、交流相关工作经验，学习新思路，研究新做法，多点发力提高政府信息公开工作的主动性和创新力。</w:t>
      </w:r>
    </w:p>
    <w:p>
      <w:pPr>
        <w:numPr>
          <w:ilvl w:val="0"/>
          <w:numId w:val="2"/>
        </w:numPr>
        <w:ind w:left="0" w:leftChars="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其他需要报告的事项</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p>
    <w:p>
      <w:pPr>
        <w:numPr>
          <w:ilvl w:val="0"/>
          <w:numId w:val="0"/>
        </w:numPr>
        <w:ind w:firstLine="640"/>
        <w:jc w:val="both"/>
        <w:rPr>
          <w:rFonts w:hint="eastAsia" w:ascii="仿宋_GB2312" w:hAnsi="仿宋_GB2312" w:eastAsia="仿宋_GB2312" w:cs="仿宋_GB2312"/>
          <w:b w:val="0"/>
          <w:bCs w:val="0"/>
          <w:sz w:val="32"/>
          <w:szCs w:val="32"/>
          <w:lang w:val="en-US" w:eastAsia="zh-CN"/>
        </w:rPr>
      </w:pPr>
    </w:p>
    <w:p>
      <w:pPr>
        <w:numPr>
          <w:ilvl w:val="0"/>
          <w:numId w:val="0"/>
        </w:numPr>
        <w:ind w:firstLine="3846" w:firstLineChars="1202"/>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洮南市市场监督管理局</w:t>
      </w:r>
    </w:p>
    <w:p>
      <w:pPr>
        <w:numPr>
          <w:ilvl w:val="0"/>
          <w:numId w:val="0"/>
        </w:numPr>
        <w:ind w:firstLine="4166" w:firstLineChars="1302"/>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2021年1月28日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EBA8"/>
    <w:multiLevelType w:val="singleLevel"/>
    <w:tmpl w:val="041AEBA8"/>
    <w:lvl w:ilvl="0" w:tentative="0">
      <w:start w:val="1"/>
      <w:numFmt w:val="chineseCounting"/>
      <w:suff w:val="nothing"/>
      <w:lvlText w:val="%1、"/>
      <w:lvlJc w:val="left"/>
      <w:rPr>
        <w:rFonts w:hint="eastAsia"/>
      </w:rPr>
    </w:lvl>
  </w:abstractNum>
  <w:abstractNum w:abstractNumId="1">
    <w:nsid w:val="62EA306C"/>
    <w:multiLevelType w:val="singleLevel"/>
    <w:tmpl w:val="62EA306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67A46"/>
    <w:rsid w:val="18FB37D2"/>
    <w:rsid w:val="324A07C4"/>
    <w:rsid w:val="6CC248AF"/>
    <w:rsid w:val="7B096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 正文11 + 首行缩进:  2 字符"/>
    <w:basedOn w:val="1"/>
    <w:qFormat/>
    <w:uiPriority w:val="99"/>
    <w:pPr>
      <w:spacing w:line="500" w:lineRule="exact"/>
      <w:ind w:firstLine="560" w:firstLineChars="200"/>
    </w:pPr>
    <w:rPr>
      <w:rFonts w:ascii="宋体" w:hAnsi="宋体" w:cs="宋体"/>
      <w:color w:val="FF000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2021-01-25T00:41:00Z</dcterms:created>
  <dc:creator>Administrator</dc:creator>
  <cp:lastModifiedBy>Straightman</cp:lastModifiedBy>
  <cp:lastPrinted>2021-01-28T01:30:51Z</cp:lastPrinted>
  <dcterms:modified xsi:type="dcterms:W3CDTF">2021-01-28T01:31:04Z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