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41341">
      <w:pPr>
        <w:spacing w:line="600" w:lineRule="exact"/>
        <w:jc w:val="center"/>
        <w:rPr>
          <w:rFonts w:ascii="方正小标宋_GBK" w:hAnsi="宋体" w:eastAsia="方正小标宋_GBK" w:cs="黑体"/>
          <w:bCs/>
          <w:sz w:val="44"/>
          <w:szCs w:val="44"/>
        </w:rPr>
      </w:pPr>
      <w:bookmarkStart w:id="0" w:name="_GoBack"/>
      <w:bookmarkEnd w:id="0"/>
      <w:r>
        <w:rPr>
          <w:rFonts w:hint="eastAsia" w:ascii="方正小标宋_GBK" w:hAnsi="宋体" w:eastAsia="方正小标宋_GBK" w:cs="黑体"/>
          <w:bCs/>
          <w:sz w:val="44"/>
          <w:szCs w:val="44"/>
        </w:rPr>
        <w:t>洮南市未来三年耕地后备资源开发利用等土地综合整治项目计划实施方案</w:t>
      </w:r>
    </w:p>
    <w:p w14:paraId="4925F136">
      <w:pPr>
        <w:spacing w:line="600" w:lineRule="exact"/>
        <w:jc w:val="center"/>
        <w:rPr>
          <w:rFonts w:ascii="方正小标宋_GBK" w:eastAsia="方正小标宋_GBK" w:hAnsiTheme="majorEastAsia"/>
          <w:sz w:val="32"/>
          <w:szCs w:val="32"/>
        </w:rPr>
      </w:pPr>
    </w:p>
    <w:p w14:paraId="6C549942">
      <w:pPr>
        <w:spacing w:line="540" w:lineRule="exact"/>
        <w:ind w:firstLine="640" w:firstLineChars="200"/>
        <w:rPr>
          <w:rFonts w:eastAsia="方正仿宋_GBK"/>
          <w:sz w:val="32"/>
          <w:szCs w:val="32"/>
        </w:rPr>
      </w:pPr>
      <w:r>
        <w:rPr>
          <w:rFonts w:eastAsia="方正仿宋_GBK"/>
          <w:sz w:val="32"/>
          <w:szCs w:val="32"/>
        </w:rPr>
        <w:t>为创新土地整治管理机制，促进土地资源节约集约利用，保护和利用好耕地后备资源, 根据《中共吉林省委 吉林省人民政府关于加强耕地保护和改进占补平衡的实施意见》（吉发〔2018〕3号）、《吉林省人民政府办公厅关于引导和规范社会资本参与耕地后备资源开发利用的意见》（吉政办发〔2021〕62号）和白城市《关于引导和规范社会资本参与耕地后备资源开发利用的</w:t>
      </w:r>
      <w:r>
        <w:rPr>
          <w:rFonts w:hint="eastAsia" w:eastAsia="方正仿宋_GBK"/>
          <w:sz w:val="32"/>
          <w:szCs w:val="32"/>
        </w:rPr>
        <w:t>实施</w:t>
      </w:r>
      <w:r>
        <w:rPr>
          <w:rFonts w:eastAsia="方正仿宋_GBK"/>
          <w:sz w:val="32"/>
          <w:szCs w:val="32"/>
        </w:rPr>
        <w:t>意见》（白政办</w:t>
      </w:r>
      <w:r>
        <w:rPr>
          <w:rFonts w:hint="eastAsia" w:eastAsia="方正仿宋_GBK"/>
          <w:sz w:val="32"/>
          <w:szCs w:val="32"/>
        </w:rPr>
        <w:t>发</w:t>
      </w:r>
      <w:r>
        <w:rPr>
          <w:rFonts w:eastAsia="方正仿宋_GBK"/>
          <w:sz w:val="32"/>
          <w:szCs w:val="32"/>
        </w:rPr>
        <w:t>〔2022〕13号）精神，结合我市实际情况，特制定本方案。</w:t>
      </w:r>
    </w:p>
    <w:p w14:paraId="2B5BF894">
      <w:pPr>
        <w:spacing w:line="540" w:lineRule="exact"/>
        <w:ind w:firstLine="640" w:firstLineChars="200"/>
        <w:rPr>
          <w:rFonts w:ascii="方正黑体_GBK" w:eastAsia="方正黑体_GBK"/>
          <w:sz w:val="32"/>
          <w:szCs w:val="32"/>
        </w:rPr>
      </w:pPr>
      <w:r>
        <w:rPr>
          <w:rFonts w:hint="eastAsia" w:ascii="方正黑体_GBK" w:eastAsia="方正黑体_GBK"/>
          <w:sz w:val="32"/>
          <w:szCs w:val="32"/>
        </w:rPr>
        <w:t>一、总体要求</w:t>
      </w:r>
    </w:p>
    <w:p w14:paraId="04F85C26">
      <w:pPr>
        <w:spacing w:line="540" w:lineRule="exact"/>
        <w:ind w:firstLine="640" w:firstLineChars="200"/>
        <w:rPr>
          <w:rFonts w:ascii="方正楷体_GBK" w:eastAsia="方正楷体_GBK"/>
          <w:sz w:val="32"/>
          <w:szCs w:val="32"/>
        </w:rPr>
      </w:pPr>
      <w:r>
        <w:rPr>
          <w:rFonts w:hint="eastAsia" w:ascii="方正楷体_GBK" w:eastAsia="方正楷体_GBK"/>
          <w:sz w:val="32"/>
          <w:szCs w:val="32"/>
        </w:rPr>
        <w:t>（一）指导思想。</w:t>
      </w:r>
    </w:p>
    <w:p w14:paraId="457B2663">
      <w:pPr>
        <w:spacing w:line="540" w:lineRule="exact"/>
        <w:ind w:firstLine="640" w:firstLineChars="200"/>
        <w:rPr>
          <w:rFonts w:eastAsia="方正仿宋_GBK"/>
          <w:sz w:val="32"/>
          <w:szCs w:val="32"/>
        </w:rPr>
      </w:pPr>
      <w:r>
        <w:rPr>
          <w:rFonts w:eastAsia="方正仿宋_GBK"/>
          <w:sz w:val="32"/>
          <w:szCs w:val="32"/>
        </w:rPr>
        <w:t>以习近平新时代中国特色社会主义思想为指导，全面贯彻习近平总书记视察吉林重要讲话和重要指示精神，深入落实习近平总书记关于“开展盐碱地综合利用对保障国家粮食安全、端牢中国饭碗具有重要战略意义”的重要讲话精神，全面实施</w:t>
      </w:r>
      <w:r>
        <w:rPr>
          <w:rFonts w:hint="eastAsia" w:eastAsia="方正仿宋_GBK"/>
          <w:sz w:val="32"/>
          <w:szCs w:val="32"/>
        </w:rPr>
        <w:t>白城市</w:t>
      </w:r>
      <w:r>
        <w:rPr>
          <w:rFonts w:eastAsia="方正仿宋_GBK"/>
          <w:sz w:val="32"/>
          <w:szCs w:val="32"/>
        </w:rPr>
        <w:t>“一城三区”高质量发展和生态强市战略，坚持严格监管和促进发展并重，更好地促进土地资源节约集约高效利用，增加有效耕地面积，保护和利用好盐碱地等后备资源，为保障国家粮食安全提供有力支撑。</w:t>
      </w:r>
    </w:p>
    <w:p w14:paraId="7D81ACAB">
      <w:pPr>
        <w:spacing w:line="540" w:lineRule="exact"/>
        <w:ind w:firstLine="640" w:firstLineChars="200"/>
        <w:rPr>
          <w:rFonts w:ascii="方正楷体_GBK" w:eastAsia="方正楷体_GBK"/>
          <w:sz w:val="32"/>
          <w:szCs w:val="32"/>
        </w:rPr>
      </w:pPr>
      <w:r>
        <w:rPr>
          <w:rFonts w:hint="eastAsia" w:ascii="方正楷体_GBK" w:eastAsia="方正楷体_GBK"/>
          <w:sz w:val="32"/>
          <w:szCs w:val="32"/>
        </w:rPr>
        <w:t>（二）基本原则。</w:t>
      </w:r>
    </w:p>
    <w:p w14:paraId="0AB7905A">
      <w:pPr>
        <w:spacing w:line="540" w:lineRule="exact"/>
        <w:ind w:firstLine="640" w:firstLineChars="200"/>
        <w:rPr>
          <w:rFonts w:eastAsia="方正仿宋_GBK"/>
          <w:sz w:val="32"/>
          <w:szCs w:val="32"/>
        </w:rPr>
      </w:pPr>
      <w:r>
        <w:rPr>
          <w:rFonts w:hint="eastAsia" w:eastAsia="方正仿宋_GBK"/>
          <w:sz w:val="32"/>
          <w:szCs w:val="32"/>
        </w:rPr>
        <w:t>1.</w:t>
      </w:r>
      <w:r>
        <w:rPr>
          <w:rFonts w:eastAsia="方正仿宋_GBK"/>
          <w:sz w:val="32"/>
          <w:szCs w:val="32"/>
        </w:rPr>
        <w:t>政府引导、市场运作。发挥政府引导和推动作用，加强组织协调，以市场为导向，调动社会各方面力量，鼓励社会资本积极参与，营造有利于加快推进耕地后备资源综合利用的良好政策环境。</w:t>
      </w:r>
    </w:p>
    <w:p w14:paraId="4B7A0C36">
      <w:pPr>
        <w:spacing w:line="540" w:lineRule="exact"/>
        <w:ind w:firstLine="640" w:firstLineChars="200"/>
        <w:rPr>
          <w:rFonts w:eastAsia="方正仿宋_GBK"/>
          <w:sz w:val="32"/>
          <w:szCs w:val="32"/>
        </w:rPr>
      </w:pPr>
      <w:r>
        <w:rPr>
          <w:rFonts w:hint="eastAsia" w:eastAsia="方正仿宋_GBK"/>
          <w:sz w:val="32"/>
          <w:szCs w:val="32"/>
        </w:rPr>
        <w:t>2.</w:t>
      </w:r>
      <w:r>
        <w:rPr>
          <w:rFonts w:eastAsia="方正仿宋_GBK"/>
          <w:sz w:val="32"/>
          <w:szCs w:val="32"/>
        </w:rPr>
        <w:t>以水定地，生态优先。加强项目水资源论证，科学评价水资源承载能力，强化水资源刚性约束，根据水资源保障确定盐碱地开发规模。合理确定种植结构，合理安排开发布局，适度有序开发宜耕后备土地。</w:t>
      </w:r>
    </w:p>
    <w:p w14:paraId="2FD0B4BA">
      <w:pPr>
        <w:spacing w:line="540" w:lineRule="exact"/>
        <w:ind w:firstLine="640" w:firstLineChars="200"/>
        <w:rPr>
          <w:rFonts w:eastAsia="方正仿宋_GBK"/>
          <w:sz w:val="32"/>
          <w:szCs w:val="32"/>
        </w:rPr>
      </w:pPr>
      <w:r>
        <w:rPr>
          <w:rFonts w:hint="eastAsia" w:eastAsia="方正仿宋_GBK"/>
          <w:sz w:val="32"/>
          <w:szCs w:val="32"/>
        </w:rPr>
        <w:t>3.</w:t>
      </w:r>
      <w:r>
        <w:rPr>
          <w:rFonts w:eastAsia="方正仿宋_GBK"/>
          <w:sz w:val="32"/>
          <w:szCs w:val="32"/>
        </w:rPr>
        <w:t>规划统筹，稳步推进。依据国土空间规划、国土空间生态修复规划等相关规划及耕地后备资源调查成果，因地制宜、科学合理</w:t>
      </w:r>
      <w:r>
        <w:rPr>
          <w:rFonts w:hint="eastAsia" w:eastAsia="方正仿宋_GBK"/>
          <w:sz w:val="32"/>
          <w:szCs w:val="32"/>
        </w:rPr>
        <w:t>的</w:t>
      </w:r>
      <w:r>
        <w:rPr>
          <w:rFonts w:eastAsia="方正仿宋_GBK"/>
          <w:sz w:val="32"/>
          <w:szCs w:val="32"/>
        </w:rPr>
        <w:t>确定土地整治项目区域。建立耕地后备资源开发项目储备库及制定年度实施计划，统筹安排社会资本参与土地整治项目建设。</w:t>
      </w:r>
    </w:p>
    <w:p w14:paraId="202D2BA7">
      <w:pPr>
        <w:spacing w:line="540" w:lineRule="exact"/>
        <w:ind w:firstLine="640" w:firstLineChars="200"/>
        <w:rPr>
          <w:rFonts w:eastAsia="方正仿宋_GBK"/>
          <w:sz w:val="32"/>
          <w:szCs w:val="32"/>
        </w:rPr>
      </w:pPr>
      <w:r>
        <w:rPr>
          <w:rFonts w:hint="eastAsia" w:eastAsia="方正仿宋_GBK"/>
          <w:sz w:val="32"/>
          <w:szCs w:val="32"/>
        </w:rPr>
        <w:t>4.</w:t>
      </w:r>
      <w:r>
        <w:rPr>
          <w:rFonts w:eastAsia="方正仿宋_GBK"/>
          <w:sz w:val="32"/>
          <w:szCs w:val="32"/>
        </w:rPr>
        <w:t>明确权责，合作共赢。充分发挥市场在资源配置中的决定性作用，鼓励投资主体通过公开竞争方式参与耕地后备资源开发等土地整治项目，明确</w:t>
      </w:r>
      <w:r>
        <w:rPr>
          <w:rFonts w:hint="eastAsia" w:eastAsia="方正仿宋_GBK"/>
          <w:sz w:val="32"/>
          <w:szCs w:val="32"/>
        </w:rPr>
        <w:t>政府和</w:t>
      </w:r>
      <w:r>
        <w:rPr>
          <w:rFonts w:eastAsia="方正仿宋_GBK"/>
          <w:sz w:val="32"/>
          <w:szCs w:val="32"/>
        </w:rPr>
        <w:t>投资主体的</w:t>
      </w:r>
      <w:r>
        <w:rPr>
          <w:rFonts w:hint="eastAsia" w:eastAsia="方正仿宋_GBK"/>
          <w:sz w:val="32"/>
          <w:szCs w:val="32"/>
        </w:rPr>
        <w:t>主体</w:t>
      </w:r>
      <w:r>
        <w:rPr>
          <w:rFonts w:eastAsia="方正仿宋_GBK"/>
          <w:sz w:val="32"/>
          <w:szCs w:val="32"/>
        </w:rPr>
        <w:t>责任、权利关系、风险责任及违约责任。构建全面规范、公开透明、公平公正的管理制度，营造良好的市场环境，实现合作共赢。</w:t>
      </w:r>
    </w:p>
    <w:p w14:paraId="5C4F5D1B">
      <w:pPr>
        <w:spacing w:line="540" w:lineRule="exact"/>
        <w:ind w:firstLine="640" w:firstLineChars="200"/>
        <w:rPr>
          <w:rFonts w:ascii="方正楷体_GBK" w:eastAsia="方正楷体_GBK"/>
          <w:sz w:val="32"/>
          <w:szCs w:val="32"/>
        </w:rPr>
      </w:pPr>
      <w:r>
        <w:rPr>
          <w:rFonts w:hint="eastAsia" w:ascii="方正楷体_GBK" w:eastAsia="方正楷体_GBK"/>
          <w:sz w:val="32"/>
          <w:szCs w:val="32"/>
        </w:rPr>
        <w:t>（三）工作目标。</w:t>
      </w:r>
    </w:p>
    <w:p w14:paraId="3FB3847A">
      <w:pPr>
        <w:spacing w:line="540" w:lineRule="exact"/>
        <w:ind w:firstLine="640" w:firstLineChars="200"/>
        <w:rPr>
          <w:rFonts w:eastAsia="方正仿宋_GBK"/>
          <w:sz w:val="32"/>
          <w:szCs w:val="32"/>
        </w:rPr>
      </w:pPr>
      <w:r>
        <w:rPr>
          <w:rFonts w:eastAsia="方正仿宋_GBK"/>
          <w:sz w:val="32"/>
          <w:szCs w:val="32"/>
        </w:rPr>
        <w:t>利用2023年</w:t>
      </w:r>
      <w:r>
        <w:rPr>
          <w:rFonts w:hint="eastAsia" w:eastAsia="方正仿宋_GBK"/>
          <w:sz w:val="32"/>
          <w:szCs w:val="32"/>
        </w:rPr>
        <w:t>—</w:t>
      </w:r>
      <w:r>
        <w:rPr>
          <w:rFonts w:eastAsia="方正仿宋_GBK"/>
          <w:sz w:val="32"/>
          <w:szCs w:val="32"/>
        </w:rPr>
        <w:t>2025年三年时间，严格实施土地整治规划，统筹耕地后备资源的开发、利用、保护。力争3年完成新增耕地5292公顷(7.94万亩），其中水田5033.48公顷（7.55万亩），旱地258.52公顷（0.39万亩）。总投资20亿元，资金来源为政府融资和引进社会资本。</w:t>
      </w:r>
    </w:p>
    <w:p w14:paraId="64C41427">
      <w:pPr>
        <w:spacing w:line="540" w:lineRule="exact"/>
        <w:ind w:firstLine="640" w:firstLineChars="200"/>
        <w:rPr>
          <w:rFonts w:ascii="方正黑体_GBK" w:eastAsia="方正黑体_GBK"/>
          <w:sz w:val="32"/>
          <w:szCs w:val="32"/>
        </w:rPr>
      </w:pPr>
      <w:r>
        <w:rPr>
          <w:rFonts w:hint="eastAsia" w:ascii="方正黑体_GBK" w:eastAsia="方正黑体_GBK"/>
          <w:sz w:val="32"/>
          <w:szCs w:val="32"/>
        </w:rPr>
        <w:t>二、工作内容及进度安排</w:t>
      </w:r>
    </w:p>
    <w:p w14:paraId="1FCA885A">
      <w:pPr>
        <w:spacing w:line="540" w:lineRule="exact"/>
        <w:ind w:firstLine="640" w:firstLineChars="200"/>
        <w:rPr>
          <w:rFonts w:eastAsia="方正仿宋_GBK"/>
          <w:sz w:val="32"/>
          <w:szCs w:val="32"/>
        </w:rPr>
      </w:pPr>
      <w:r>
        <w:rPr>
          <w:rFonts w:eastAsia="方正仿宋_GBK"/>
          <w:sz w:val="32"/>
          <w:szCs w:val="32"/>
        </w:rPr>
        <w:t>根据我市宜耕后备资源分布及水资源条件，按照因地制宜、先易后难的原则，按计划分年度实施。</w:t>
      </w:r>
    </w:p>
    <w:p w14:paraId="6DE82F6A">
      <w:pPr>
        <w:spacing w:line="540" w:lineRule="exact"/>
        <w:ind w:firstLine="640" w:firstLineChars="200"/>
        <w:rPr>
          <w:rFonts w:ascii="方正仿宋_GBK" w:eastAsia="方正仿宋_GBK"/>
          <w:sz w:val="32"/>
          <w:szCs w:val="32"/>
        </w:rPr>
      </w:pPr>
      <w:r>
        <w:rPr>
          <w:rFonts w:hint="eastAsia" w:ascii="方正楷体_GBK" w:eastAsia="方正楷体_GBK"/>
          <w:sz w:val="32"/>
          <w:szCs w:val="32"/>
        </w:rPr>
        <w:t>（一）2023年计划在向阳街道、二龙乡实施土地整治项目3个，预计新增耕地1066公顷（1.6万亩），其中水田807.48 公顷（1.21万亩），旱地 258.52公顷（0.39万亩）。</w:t>
      </w:r>
      <w:r>
        <w:rPr>
          <w:rFonts w:hint="eastAsia" w:ascii="方正仿宋_GBK" w:eastAsia="方正仿宋_GBK"/>
          <w:sz w:val="32"/>
          <w:szCs w:val="32"/>
        </w:rPr>
        <w:t>项目基本情况如下：</w:t>
      </w:r>
    </w:p>
    <w:p w14:paraId="11721BE8">
      <w:pPr>
        <w:spacing w:line="540" w:lineRule="exact"/>
        <w:ind w:firstLine="640" w:firstLineChars="200"/>
        <w:rPr>
          <w:rFonts w:eastAsia="方正仿宋_GBK"/>
          <w:sz w:val="32"/>
          <w:szCs w:val="32"/>
        </w:rPr>
      </w:pPr>
      <w:r>
        <w:rPr>
          <w:rFonts w:hint="eastAsia" w:eastAsia="方正仿宋_GBK"/>
          <w:sz w:val="32"/>
          <w:szCs w:val="32"/>
        </w:rPr>
        <w:t>1.</w:t>
      </w:r>
      <w:r>
        <w:rPr>
          <w:rFonts w:eastAsia="方正仿宋_GBK"/>
          <w:sz w:val="32"/>
          <w:szCs w:val="32"/>
        </w:rPr>
        <w:t>洮南市二龙苇场土地综合整治项目。项目建设规模481.34公顷（0.72万亩），估算总投资1.56亿元，资金来源</w:t>
      </w:r>
      <w:r>
        <w:rPr>
          <w:rFonts w:hint="eastAsia" w:eastAsia="方正仿宋_GBK"/>
          <w:sz w:val="32"/>
          <w:szCs w:val="32"/>
        </w:rPr>
        <w:t>为</w:t>
      </w:r>
      <w:r>
        <w:rPr>
          <w:rFonts w:eastAsia="方正仿宋_GBK"/>
          <w:sz w:val="32"/>
          <w:szCs w:val="32"/>
        </w:rPr>
        <w:t>专项</w:t>
      </w:r>
      <w:r>
        <w:rPr>
          <w:rFonts w:hint="eastAsia" w:eastAsia="方正仿宋_GBK"/>
          <w:sz w:val="32"/>
          <w:szCs w:val="32"/>
        </w:rPr>
        <w:t>债券资金</w:t>
      </w:r>
      <w:r>
        <w:rPr>
          <w:rFonts w:eastAsia="方正仿宋_GBK"/>
          <w:sz w:val="32"/>
          <w:szCs w:val="32"/>
        </w:rPr>
        <w:t>和政府配套资金。建成后预计新增耕地（水田）404.71公顷（0.61万亩）。具体实施时间为:</w:t>
      </w:r>
    </w:p>
    <w:p w14:paraId="5694C3DC">
      <w:pPr>
        <w:spacing w:line="540" w:lineRule="exact"/>
        <w:ind w:firstLine="640" w:firstLineChars="200"/>
        <w:rPr>
          <w:rFonts w:eastAsia="方正仿宋_GBK"/>
          <w:sz w:val="32"/>
          <w:szCs w:val="32"/>
        </w:rPr>
      </w:pPr>
      <w:r>
        <w:rPr>
          <w:rFonts w:eastAsia="方正仿宋_GBK"/>
          <w:sz w:val="32"/>
          <w:szCs w:val="32"/>
        </w:rPr>
        <w:t>2023年1月，完成立项审批和融资工作。</w:t>
      </w:r>
    </w:p>
    <w:p w14:paraId="344C3064">
      <w:pPr>
        <w:spacing w:line="540" w:lineRule="exact"/>
        <w:ind w:left="638" w:leftChars="304"/>
        <w:rPr>
          <w:rFonts w:eastAsia="方正仿宋_GBK"/>
          <w:sz w:val="32"/>
          <w:szCs w:val="32"/>
        </w:rPr>
      </w:pPr>
      <w:r>
        <w:rPr>
          <w:rFonts w:eastAsia="方正仿宋_GBK"/>
          <w:sz w:val="32"/>
          <w:szCs w:val="32"/>
        </w:rPr>
        <w:t>2023年2</w:t>
      </w:r>
      <w:r>
        <w:rPr>
          <w:rFonts w:hint="eastAsia" w:eastAsia="方正仿宋_GBK"/>
          <w:sz w:val="32"/>
          <w:szCs w:val="32"/>
        </w:rPr>
        <w:t>—</w:t>
      </w:r>
      <w:r>
        <w:rPr>
          <w:rFonts w:eastAsia="方正仿宋_GBK"/>
          <w:sz w:val="32"/>
          <w:szCs w:val="32"/>
        </w:rPr>
        <w:t>3月，完成项目规划设计和预算审批工作。                      2023年4月，完成工程招投标工作。</w:t>
      </w:r>
    </w:p>
    <w:p w14:paraId="219A8F9F">
      <w:pPr>
        <w:spacing w:line="540" w:lineRule="exact"/>
        <w:ind w:firstLine="640" w:firstLineChars="200"/>
        <w:rPr>
          <w:rFonts w:eastAsia="方正仿宋_GBK"/>
          <w:sz w:val="32"/>
          <w:szCs w:val="32"/>
        </w:rPr>
      </w:pPr>
      <w:r>
        <w:rPr>
          <w:rFonts w:eastAsia="方正仿宋_GBK"/>
          <w:sz w:val="32"/>
          <w:szCs w:val="32"/>
        </w:rPr>
        <w:t>2023年 5月</w:t>
      </w:r>
      <w:r>
        <w:rPr>
          <w:rFonts w:hint="eastAsia" w:eastAsia="方正仿宋_GBK"/>
          <w:sz w:val="32"/>
          <w:szCs w:val="32"/>
        </w:rPr>
        <w:t>—</w:t>
      </w:r>
      <w:r>
        <w:rPr>
          <w:rFonts w:eastAsia="方正仿宋_GBK"/>
          <w:sz w:val="32"/>
          <w:szCs w:val="32"/>
        </w:rPr>
        <w:t>2024年12月，完成施工和验收入库工作。</w:t>
      </w:r>
    </w:p>
    <w:p w14:paraId="60A0CCD1">
      <w:pPr>
        <w:spacing w:line="540" w:lineRule="exact"/>
        <w:ind w:firstLine="640" w:firstLineChars="200"/>
        <w:rPr>
          <w:rFonts w:eastAsia="方正仿宋_GBK"/>
          <w:sz w:val="32"/>
          <w:szCs w:val="32"/>
        </w:rPr>
      </w:pPr>
      <w:r>
        <w:rPr>
          <w:rFonts w:hint="eastAsia" w:eastAsia="方正仿宋_GBK"/>
          <w:sz w:val="32"/>
          <w:szCs w:val="32"/>
        </w:rPr>
        <w:t>2.</w:t>
      </w:r>
      <w:r>
        <w:rPr>
          <w:rFonts w:eastAsia="方正仿宋_GBK"/>
          <w:sz w:val="32"/>
          <w:szCs w:val="32"/>
        </w:rPr>
        <w:t>洮南市向阳街道安乐村和文化村土地综合整治项目。项目建设规模 304.31公顷（0.46万亩），估算总投资0.68亿元，建成后预计新增旱地258.52 公顷（0.39万亩）。计划引进社会资本实施。具体实施时间为:</w:t>
      </w:r>
    </w:p>
    <w:p w14:paraId="1C8D0267">
      <w:pPr>
        <w:spacing w:line="540" w:lineRule="exact"/>
        <w:ind w:firstLine="640" w:firstLineChars="200"/>
        <w:rPr>
          <w:rFonts w:eastAsia="方正仿宋_GBK"/>
          <w:sz w:val="32"/>
          <w:szCs w:val="32"/>
        </w:rPr>
      </w:pPr>
      <w:r>
        <w:rPr>
          <w:rFonts w:eastAsia="方正仿宋_GBK"/>
          <w:sz w:val="32"/>
          <w:szCs w:val="32"/>
        </w:rPr>
        <w:t>2023年1月，完成立项审批和引进社会资本工作。</w:t>
      </w:r>
    </w:p>
    <w:p w14:paraId="4B9A71DB">
      <w:pPr>
        <w:spacing w:line="540" w:lineRule="exact"/>
        <w:ind w:left="638" w:leftChars="304"/>
        <w:rPr>
          <w:rFonts w:eastAsia="方正仿宋_GBK"/>
          <w:sz w:val="32"/>
          <w:szCs w:val="32"/>
        </w:rPr>
      </w:pPr>
      <w:r>
        <w:rPr>
          <w:rFonts w:eastAsia="方正仿宋_GBK"/>
          <w:sz w:val="32"/>
          <w:szCs w:val="32"/>
        </w:rPr>
        <w:t>202</w:t>
      </w:r>
      <w:r>
        <w:rPr>
          <w:rFonts w:hint="eastAsia" w:eastAsia="方正仿宋_GBK"/>
          <w:sz w:val="32"/>
          <w:szCs w:val="32"/>
        </w:rPr>
        <w:t>3</w:t>
      </w:r>
      <w:r>
        <w:rPr>
          <w:rFonts w:eastAsia="方正仿宋_GBK"/>
          <w:sz w:val="32"/>
          <w:szCs w:val="32"/>
        </w:rPr>
        <w:t>年2</w:t>
      </w:r>
      <w:r>
        <w:rPr>
          <w:rFonts w:hint="eastAsia" w:eastAsia="方正仿宋_GBK"/>
          <w:sz w:val="32"/>
          <w:szCs w:val="32"/>
        </w:rPr>
        <w:t>—</w:t>
      </w:r>
      <w:r>
        <w:rPr>
          <w:rFonts w:eastAsia="方正仿宋_GBK"/>
          <w:sz w:val="32"/>
          <w:szCs w:val="32"/>
        </w:rPr>
        <w:t>3月，完成项目规划设计和预算审批工作。                      2023年4月，完成工程招投标工作。</w:t>
      </w:r>
    </w:p>
    <w:p w14:paraId="3E3B3BCE">
      <w:pPr>
        <w:spacing w:line="540" w:lineRule="exact"/>
        <w:ind w:firstLine="640" w:firstLineChars="200"/>
        <w:rPr>
          <w:rFonts w:eastAsia="方正仿宋_GBK"/>
          <w:sz w:val="32"/>
          <w:szCs w:val="32"/>
        </w:rPr>
      </w:pPr>
      <w:r>
        <w:rPr>
          <w:rFonts w:eastAsia="方正仿宋_GBK"/>
          <w:sz w:val="32"/>
          <w:szCs w:val="32"/>
        </w:rPr>
        <w:t>2023年 5月</w:t>
      </w:r>
      <w:r>
        <w:rPr>
          <w:rFonts w:hint="eastAsia" w:eastAsia="方正仿宋_GBK"/>
          <w:sz w:val="32"/>
          <w:szCs w:val="32"/>
        </w:rPr>
        <w:t>—</w:t>
      </w:r>
      <w:r>
        <w:rPr>
          <w:rFonts w:eastAsia="方正仿宋_GBK"/>
          <w:sz w:val="32"/>
          <w:szCs w:val="32"/>
        </w:rPr>
        <w:t>2024年12月，完成施工和验收入库工作。</w:t>
      </w:r>
    </w:p>
    <w:p w14:paraId="109F111B">
      <w:pPr>
        <w:spacing w:line="540" w:lineRule="exact"/>
        <w:ind w:firstLine="640" w:firstLineChars="200"/>
        <w:rPr>
          <w:rFonts w:eastAsia="方正仿宋_GBK"/>
          <w:sz w:val="32"/>
          <w:szCs w:val="32"/>
        </w:rPr>
      </w:pPr>
      <w:r>
        <w:rPr>
          <w:rFonts w:hint="eastAsia" w:eastAsia="方正仿宋_GBK"/>
          <w:sz w:val="32"/>
          <w:szCs w:val="32"/>
        </w:rPr>
        <w:t>3.</w:t>
      </w:r>
      <w:r>
        <w:rPr>
          <w:rFonts w:eastAsia="方正仿宋_GBK"/>
          <w:sz w:val="32"/>
          <w:szCs w:val="32"/>
        </w:rPr>
        <w:t>洮南市二龙乡二龙苇场土地整治项目（一期）。项目建设规模 473.85公顷（0.71万亩），估算总投资1.55亿元，建成后预计新增耕地（水田） 402.77公顷（0.6万亩）。计划引进社会资本实施。具体实施时间为:</w:t>
      </w:r>
    </w:p>
    <w:p w14:paraId="58A900D1">
      <w:pPr>
        <w:spacing w:line="540" w:lineRule="exact"/>
        <w:ind w:firstLine="640" w:firstLineChars="200"/>
        <w:rPr>
          <w:rFonts w:eastAsia="方正仿宋_GBK"/>
          <w:sz w:val="32"/>
          <w:szCs w:val="32"/>
        </w:rPr>
      </w:pPr>
      <w:r>
        <w:rPr>
          <w:rFonts w:eastAsia="方正仿宋_GBK"/>
          <w:sz w:val="32"/>
          <w:szCs w:val="32"/>
        </w:rPr>
        <w:t>2023年1月，完成立项审批和引进社会资本工作。</w:t>
      </w:r>
    </w:p>
    <w:p w14:paraId="1F5D30AF">
      <w:pPr>
        <w:spacing w:line="540" w:lineRule="exact"/>
        <w:ind w:left="638" w:leftChars="304"/>
        <w:rPr>
          <w:rFonts w:eastAsia="方正仿宋_GBK"/>
          <w:sz w:val="32"/>
          <w:szCs w:val="32"/>
        </w:rPr>
      </w:pPr>
      <w:r>
        <w:rPr>
          <w:rFonts w:hint="eastAsia" w:eastAsia="方正仿宋_GBK"/>
          <w:sz w:val="32"/>
          <w:szCs w:val="32"/>
        </w:rPr>
        <w:t>2023</w:t>
      </w:r>
      <w:r>
        <w:rPr>
          <w:rFonts w:eastAsia="方正仿宋_GBK"/>
          <w:sz w:val="32"/>
          <w:szCs w:val="32"/>
        </w:rPr>
        <w:t>年2</w:t>
      </w:r>
      <w:r>
        <w:rPr>
          <w:rFonts w:hint="eastAsia" w:eastAsia="方正仿宋_GBK"/>
          <w:sz w:val="32"/>
          <w:szCs w:val="32"/>
        </w:rPr>
        <w:t>—</w:t>
      </w:r>
      <w:r>
        <w:rPr>
          <w:rFonts w:eastAsia="方正仿宋_GBK"/>
          <w:sz w:val="32"/>
          <w:szCs w:val="32"/>
        </w:rPr>
        <w:t>3月，完成项目规划设计和预算审批工作。                      2023年4月，完成工程招投标工作。</w:t>
      </w:r>
    </w:p>
    <w:p w14:paraId="7E64FCC9">
      <w:pPr>
        <w:spacing w:line="540" w:lineRule="exact"/>
        <w:ind w:firstLine="640" w:firstLineChars="200"/>
        <w:rPr>
          <w:rFonts w:eastAsia="方正仿宋_GBK"/>
          <w:sz w:val="32"/>
          <w:szCs w:val="32"/>
        </w:rPr>
      </w:pPr>
      <w:r>
        <w:rPr>
          <w:rFonts w:eastAsia="方正仿宋_GBK"/>
          <w:sz w:val="32"/>
          <w:szCs w:val="32"/>
        </w:rPr>
        <w:t>2023年 5月</w:t>
      </w:r>
      <w:r>
        <w:rPr>
          <w:rFonts w:hint="eastAsia" w:eastAsia="方正仿宋_GBK"/>
          <w:sz w:val="32"/>
          <w:szCs w:val="32"/>
        </w:rPr>
        <w:t>—</w:t>
      </w:r>
      <w:r>
        <w:rPr>
          <w:rFonts w:eastAsia="方正仿宋_GBK"/>
          <w:sz w:val="32"/>
          <w:szCs w:val="32"/>
        </w:rPr>
        <w:t>2024年12月，完成施工和验收入库工作。</w:t>
      </w:r>
    </w:p>
    <w:p w14:paraId="51AF40E7">
      <w:pPr>
        <w:spacing w:line="540" w:lineRule="exact"/>
        <w:ind w:firstLine="640" w:firstLineChars="200"/>
        <w:rPr>
          <w:rFonts w:ascii="方正楷体_GBK" w:eastAsia="方正楷体_GBK"/>
          <w:sz w:val="32"/>
          <w:szCs w:val="32"/>
        </w:rPr>
      </w:pPr>
      <w:r>
        <w:rPr>
          <w:rFonts w:hint="eastAsia" w:ascii="方正楷体_GBK" w:eastAsia="方正楷体_GBK"/>
          <w:sz w:val="32"/>
          <w:szCs w:val="32"/>
        </w:rPr>
        <w:t>（二）2024年计划在二龙乡实施土地整治项目，预计新增耕地(水田)2453公顷（3.68万亩）。</w:t>
      </w:r>
    </w:p>
    <w:p w14:paraId="764FCCA6">
      <w:pPr>
        <w:spacing w:line="540" w:lineRule="exact"/>
        <w:ind w:firstLine="640" w:firstLineChars="200"/>
        <w:rPr>
          <w:rFonts w:eastAsia="方正仿宋_GBK"/>
          <w:sz w:val="32"/>
          <w:szCs w:val="32"/>
        </w:rPr>
      </w:pPr>
      <w:r>
        <w:rPr>
          <w:rFonts w:hint="eastAsia" w:eastAsia="方正仿宋_GBK"/>
          <w:sz w:val="32"/>
          <w:szCs w:val="32"/>
        </w:rPr>
        <w:t>1.</w:t>
      </w:r>
      <w:r>
        <w:rPr>
          <w:rFonts w:eastAsia="方正仿宋_GBK"/>
          <w:sz w:val="32"/>
          <w:szCs w:val="32"/>
        </w:rPr>
        <w:t>洮南市二龙乡二龙苇场土地综合整治项目（二期），项目建设规模567公顷（0.85万亩），估算总投资1.73亿元，建成后预计新增耕地（水田）450公顷（0.68万亩）。计划引进社会资本实施。</w:t>
      </w:r>
    </w:p>
    <w:p w14:paraId="39B9C112">
      <w:pPr>
        <w:spacing w:line="540" w:lineRule="exact"/>
        <w:ind w:firstLine="640" w:firstLineChars="200"/>
        <w:rPr>
          <w:rFonts w:eastAsia="方正仿宋_GBK"/>
          <w:sz w:val="32"/>
          <w:szCs w:val="32"/>
        </w:rPr>
      </w:pPr>
      <w:r>
        <w:rPr>
          <w:rFonts w:hint="eastAsia" w:eastAsia="方正仿宋_GBK"/>
          <w:sz w:val="32"/>
          <w:szCs w:val="32"/>
        </w:rPr>
        <w:t>2.</w:t>
      </w:r>
      <w:r>
        <w:rPr>
          <w:rFonts w:eastAsia="方正仿宋_GBK"/>
          <w:sz w:val="32"/>
          <w:szCs w:val="32"/>
        </w:rPr>
        <w:t>洮南市二龙苇场土地综合整治项目（二区），建设规模 2392公顷（3.59万亩），估算总投资 7.7亿元，建成后预计新增耕地（水田）2003公顷（3万亩）。计划引进社会资本实施。</w:t>
      </w:r>
    </w:p>
    <w:p w14:paraId="5D9D66AA">
      <w:pPr>
        <w:spacing w:line="540" w:lineRule="exact"/>
        <w:ind w:firstLine="640" w:firstLineChars="200"/>
        <w:rPr>
          <w:rFonts w:ascii="方正楷体_GBK" w:eastAsia="方正楷体_GBK"/>
          <w:sz w:val="32"/>
          <w:szCs w:val="32"/>
        </w:rPr>
      </w:pPr>
      <w:r>
        <w:rPr>
          <w:rFonts w:hint="eastAsia" w:ascii="方正楷体_GBK" w:eastAsia="方正楷体_GBK"/>
          <w:sz w:val="32"/>
          <w:szCs w:val="32"/>
        </w:rPr>
        <w:t>（三）2025年计划在向阳街道、大通乡、蛟流河乡实施土地整治项目，预计新增水田1773 公顷（2.66万亩）。</w:t>
      </w:r>
    </w:p>
    <w:p w14:paraId="0A1E8276">
      <w:pPr>
        <w:spacing w:line="540" w:lineRule="exact"/>
        <w:ind w:firstLine="640" w:firstLineChars="200"/>
        <w:rPr>
          <w:rFonts w:eastAsia="方正仿宋_GBK"/>
          <w:sz w:val="32"/>
          <w:szCs w:val="32"/>
        </w:rPr>
      </w:pPr>
      <w:r>
        <w:rPr>
          <w:rFonts w:hint="eastAsia" w:eastAsia="方正仿宋_GBK"/>
          <w:sz w:val="32"/>
          <w:szCs w:val="32"/>
        </w:rPr>
        <w:t>1.</w:t>
      </w:r>
      <w:r>
        <w:rPr>
          <w:rFonts w:eastAsia="方正仿宋_GBK"/>
          <w:sz w:val="32"/>
          <w:szCs w:val="32"/>
        </w:rPr>
        <w:t>洮南市向阳街道安乐村土地综合整治项目，建设规模1327 公顷（1.99万亩），估算总投资3.52亿元，建成后预计新增耕地（水田）913公顷（1.37万亩）。计划引进社会资本实施。</w:t>
      </w:r>
    </w:p>
    <w:p w14:paraId="232C30CA">
      <w:pPr>
        <w:spacing w:line="540" w:lineRule="exact"/>
        <w:ind w:firstLine="640" w:firstLineChars="200"/>
        <w:rPr>
          <w:rFonts w:eastAsia="方正仿宋_GBK"/>
          <w:sz w:val="32"/>
          <w:szCs w:val="32"/>
        </w:rPr>
      </w:pPr>
      <w:r>
        <w:rPr>
          <w:rFonts w:hint="eastAsia" w:eastAsia="方正仿宋_GBK"/>
          <w:sz w:val="32"/>
          <w:szCs w:val="32"/>
        </w:rPr>
        <w:t>2.</w:t>
      </w:r>
      <w:r>
        <w:rPr>
          <w:rFonts w:eastAsia="方正仿宋_GBK"/>
          <w:sz w:val="32"/>
          <w:szCs w:val="32"/>
        </w:rPr>
        <w:t>洮南市大通乡四海村土地综合整治项目，建设规模604公顷（0.91万亩），估算总投资1.73亿元，建成后预计新增耕地（水田）450公顷（0.68万亩）。计划引进社会资本实施。</w:t>
      </w:r>
    </w:p>
    <w:p w14:paraId="463D3537">
      <w:pPr>
        <w:spacing w:line="540" w:lineRule="exact"/>
        <w:ind w:firstLine="640" w:firstLineChars="200"/>
        <w:rPr>
          <w:rFonts w:eastAsia="方正仿宋_GBK"/>
          <w:sz w:val="32"/>
          <w:szCs w:val="32"/>
        </w:rPr>
      </w:pPr>
      <w:r>
        <w:rPr>
          <w:rFonts w:hint="eastAsia" w:eastAsia="方正仿宋_GBK"/>
          <w:sz w:val="32"/>
          <w:szCs w:val="32"/>
        </w:rPr>
        <w:t>3.</w:t>
      </w:r>
      <w:r>
        <w:rPr>
          <w:rFonts w:eastAsia="方正仿宋_GBK"/>
          <w:sz w:val="32"/>
          <w:szCs w:val="32"/>
        </w:rPr>
        <w:t>洮南市蛟流河乡光荣村土地综合整治项目，建设规模574公顷（0.86万亩），估算总投资1.58亿元，建成后预计新增耕地（水田）410公顷（0.61万亩）。计划引进社会资本实施。</w:t>
      </w:r>
    </w:p>
    <w:p w14:paraId="71806294">
      <w:pPr>
        <w:spacing w:line="540" w:lineRule="exact"/>
        <w:ind w:firstLine="640" w:firstLineChars="200"/>
        <w:rPr>
          <w:rFonts w:ascii="方正黑体_GBK" w:eastAsia="方正黑体_GBK"/>
          <w:sz w:val="32"/>
          <w:szCs w:val="32"/>
        </w:rPr>
      </w:pPr>
      <w:r>
        <w:rPr>
          <w:rFonts w:hint="eastAsia" w:ascii="方正黑体_GBK" w:eastAsia="方正黑体_GBK"/>
          <w:sz w:val="32"/>
          <w:szCs w:val="32"/>
        </w:rPr>
        <w:t>三、实施模式</w:t>
      </w:r>
    </w:p>
    <w:p w14:paraId="77071F7C">
      <w:pPr>
        <w:spacing w:line="540" w:lineRule="exact"/>
        <w:ind w:firstLine="640" w:firstLineChars="200"/>
        <w:rPr>
          <w:rFonts w:eastAsia="方正仿宋_GBK"/>
          <w:sz w:val="32"/>
          <w:szCs w:val="32"/>
        </w:rPr>
      </w:pPr>
      <w:r>
        <w:rPr>
          <w:rFonts w:eastAsia="方正仿宋_GBK"/>
          <w:sz w:val="32"/>
          <w:szCs w:val="32"/>
        </w:rPr>
        <w:t>项目以引进社会投资为主，政府财政资金为辅的投资方式进行实施。</w:t>
      </w:r>
    </w:p>
    <w:p w14:paraId="06871264">
      <w:pPr>
        <w:spacing w:line="540" w:lineRule="exact"/>
        <w:ind w:firstLine="640" w:firstLineChars="200"/>
        <w:rPr>
          <w:rFonts w:ascii="方正楷体_GBK" w:eastAsia="方正楷体_GBK"/>
          <w:sz w:val="32"/>
          <w:szCs w:val="32"/>
        </w:rPr>
      </w:pPr>
      <w:r>
        <w:rPr>
          <w:rFonts w:hint="eastAsia" w:ascii="方正楷体_GBK" w:eastAsia="方正楷体_GBK"/>
          <w:sz w:val="32"/>
          <w:szCs w:val="32"/>
        </w:rPr>
        <w:t>（一）社会投资实施模式。</w:t>
      </w:r>
    </w:p>
    <w:p w14:paraId="0DFE4E2D">
      <w:pPr>
        <w:spacing w:line="540" w:lineRule="exact"/>
        <w:ind w:firstLine="640" w:firstLineChars="200"/>
        <w:rPr>
          <w:rFonts w:eastAsia="方正仿宋_GBK"/>
          <w:sz w:val="32"/>
          <w:szCs w:val="32"/>
        </w:rPr>
      </w:pPr>
      <w:r>
        <w:rPr>
          <w:rFonts w:eastAsia="方正仿宋_GBK"/>
          <w:sz w:val="32"/>
          <w:szCs w:val="32"/>
        </w:rPr>
        <w:t>为加强项目监督管理，对项目清查、勘测、可研、规划设计和预算编制、监理、工程复核、新增耕地质量评定、决算编制与审计等技术服务单位的选定按照相关规定组织招标。其技术服务费用由投资主体中标后存入相应的土地整治项目专户，并根据进度情况支付技术服务单位。</w:t>
      </w:r>
    </w:p>
    <w:p w14:paraId="2709BABA">
      <w:pPr>
        <w:spacing w:line="540" w:lineRule="exact"/>
        <w:ind w:firstLine="640" w:firstLineChars="200"/>
        <w:rPr>
          <w:rFonts w:eastAsia="方正仿宋_GBK"/>
          <w:sz w:val="32"/>
          <w:szCs w:val="32"/>
        </w:rPr>
      </w:pPr>
      <w:r>
        <w:rPr>
          <w:rFonts w:eastAsia="方正仿宋_GBK"/>
          <w:sz w:val="32"/>
          <w:szCs w:val="32"/>
        </w:rPr>
        <w:t>项目完成可研编制，通过专家评审后，向白城市耕地后备资源开发利用工作领导小组办公室申请立项。</w:t>
      </w:r>
    </w:p>
    <w:p w14:paraId="44DA4CAB">
      <w:pPr>
        <w:spacing w:line="540" w:lineRule="exact"/>
        <w:ind w:firstLine="640" w:firstLineChars="200"/>
        <w:rPr>
          <w:rFonts w:eastAsia="方正仿宋_GBK"/>
          <w:sz w:val="32"/>
          <w:szCs w:val="32"/>
        </w:rPr>
      </w:pPr>
      <w:r>
        <w:rPr>
          <w:rFonts w:eastAsia="方正仿宋_GBK"/>
          <w:sz w:val="32"/>
          <w:szCs w:val="32"/>
        </w:rPr>
        <w:t>项目立项后，由政府通过公开方式引进社会资本，政府与社会投资方签订项目建设合同。由社会投资方按照行业管理规范组织项目建设和管理，开展工程施工、土壤改良、培肥种植和管理等工作，提供竣工验收相关内业资料。社会投资方对实施的项目工程质量、安全、工期和项目预期效益负责。并按规定要求完成项目各阶段验收工作。一是中间验收:由监理单位组织单元、分部、单位、单项工程验收；二是合同段验收:由投资主体组织合同段验收并开展竣工自检自查工作；三是初步验收: 投资主体组织工程结算，由财政部门或财政部门委托第三方造价机构审核通过后，下达工程结算审核意见;由第三方开展决算编制和审计工作，报财政部门下达项目竣工决算批复;报请市政府组织初步验收。四是竣工验收:工程复核单位完成工程复核;由第三方开展整治后耕地质量等别评定，报请白城市耕地后备资源开发利用工作领导小组组织竣工验收。五是新增耕地指标确认入库。项目竣工验收批复后，相关部门依法依规进行审核。由</w:t>
      </w:r>
      <w:r>
        <w:rPr>
          <w:rFonts w:hint="eastAsia" w:eastAsia="方正仿宋_GBK"/>
          <w:sz w:val="32"/>
          <w:szCs w:val="32"/>
        </w:rPr>
        <w:t>市</w:t>
      </w:r>
      <w:r>
        <w:rPr>
          <w:rFonts w:eastAsia="方正仿宋_GBK"/>
          <w:sz w:val="32"/>
          <w:szCs w:val="32"/>
        </w:rPr>
        <w:t>自然资源部门对项目新增耕地指标进行初步核定;</w:t>
      </w:r>
      <w:r>
        <w:rPr>
          <w:rFonts w:hint="eastAsia" w:eastAsia="方正仿宋_GBK"/>
          <w:sz w:val="32"/>
          <w:szCs w:val="32"/>
        </w:rPr>
        <w:t>报</w:t>
      </w:r>
      <w:r>
        <w:rPr>
          <w:rFonts w:eastAsia="方正仿宋_GBK"/>
          <w:sz w:val="32"/>
          <w:szCs w:val="32"/>
        </w:rPr>
        <w:t>白城市自然资源部门进行审核;</w:t>
      </w:r>
      <w:r>
        <w:rPr>
          <w:rFonts w:hint="eastAsia" w:eastAsia="方正仿宋_GBK"/>
          <w:sz w:val="32"/>
          <w:szCs w:val="32"/>
        </w:rPr>
        <w:t>由</w:t>
      </w:r>
      <w:r>
        <w:rPr>
          <w:rFonts w:eastAsia="方正仿宋_GBK"/>
          <w:sz w:val="32"/>
          <w:szCs w:val="32"/>
        </w:rPr>
        <w:t>省自然资源部门复核后下达确认文件，</w:t>
      </w:r>
      <w:r>
        <w:rPr>
          <w:rFonts w:hint="eastAsia" w:eastAsia="方正仿宋_GBK"/>
          <w:sz w:val="32"/>
          <w:szCs w:val="32"/>
        </w:rPr>
        <w:t>市</w:t>
      </w:r>
      <w:r>
        <w:rPr>
          <w:rFonts w:eastAsia="方正仿宋_GBK"/>
          <w:sz w:val="32"/>
          <w:szCs w:val="32"/>
        </w:rPr>
        <w:t>自然资源部门按照规定负责录入耕地占补平衡动态监测监管系统，完成入库。</w:t>
      </w:r>
    </w:p>
    <w:p w14:paraId="29451130">
      <w:pPr>
        <w:spacing w:line="540" w:lineRule="exact"/>
        <w:ind w:firstLine="640" w:firstLineChars="200"/>
        <w:rPr>
          <w:rFonts w:ascii="方正楷体_GBK" w:eastAsia="方正楷体_GBK"/>
          <w:sz w:val="32"/>
          <w:szCs w:val="32"/>
        </w:rPr>
      </w:pPr>
      <w:r>
        <w:rPr>
          <w:rFonts w:hint="eastAsia" w:ascii="方正楷体_GBK" w:eastAsia="方正楷体_GBK"/>
          <w:sz w:val="32"/>
          <w:szCs w:val="32"/>
        </w:rPr>
        <w:t>（二）使用财政资金实施模式。</w:t>
      </w:r>
    </w:p>
    <w:p w14:paraId="78781140">
      <w:pPr>
        <w:spacing w:line="540" w:lineRule="exact"/>
        <w:ind w:firstLine="640" w:firstLineChars="200"/>
        <w:rPr>
          <w:rFonts w:eastAsia="方正仿宋_GBK"/>
          <w:sz w:val="32"/>
          <w:szCs w:val="32"/>
        </w:rPr>
      </w:pPr>
      <w:r>
        <w:rPr>
          <w:rFonts w:eastAsia="方正仿宋_GBK"/>
          <w:sz w:val="32"/>
          <w:szCs w:val="32"/>
        </w:rPr>
        <w:t>使用财政资金的土地整治项目，按照行业主管部门项目管理办法组织实施。</w:t>
      </w:r>
    </w:p>
    <w:p w14:paraId="45A3A217">
      <w:pPr>
        <w:spacing w:line="540" w:lineRule="exact"/>
        <w:ind w:firstLine="640" w:firstLineChars="200"/>
        <w:rPr>
          <w:rFonts w:ascii="方正黑体_GBK" w:eastAsia="方正黑体_GBK"/>
          <w:sz w:val="32"/>
          <w:szCs w:val="32"/>
        </w:rPr>
      </w:pPr>
      <w:r>
        <w:rPr>
          <w:rFonts w:hint="eastAsia" w:ascii="方正黑体_GBK" w:eastAsia="方正黑体_GBK"/>
          <w:sz w:val="32"/>
          <w:szCs w:val="32"/>
        </w:rPr>
        <w:t>四、奖补及支付方式</w:t>
      </w:r>
    </w:p>
    <w:p w14:paraId="27BD96AC">
      <w:pPr>
        <w:spacing w:line="540" w:lineRule="exact"/>
        <w:ind w:firstLine="640" w:firstLineChars="200"/>
        <w:rPr>
          <w:rFonts w:eastAsia="方正仿宋_GBK"/>
          <w:sz w:val="32"/>
          <w:szCs w:val="32"/>
        </w:rPr>
      </w:pPr>
      <w:r>
        <w:rPr>
          <w:rFonts w:hint="eastAsia" w:ascii="方正楷体_GBK" w:eastAsia="方正楷体_GBK"/>
          <w:sz w:val="32"/>
          <w:szCs w:val="32"/>
        </w:rPr>
        <w:t>（一）奖补。</w:t>
      </w:r>
      <w:r>
        <w:rPr>
          <w:rFonts w:eastAsia="方正仿宋_GBK"/>
          <w:sz w:val="32"/>
          <w:szCs w:val="32"/>
        </w:rPr>
        <w:t>奖补标准依据《白城市社会资本参与土地整治项目奖补办法》相关规定执行。</w:t>
      </w:r>
    </w:p>
    <w:p w14:paraId="6E56A5C8">
      <w:pPr>
        <w:spacing w:line="540" w:lineRule="exact"/>
        <w:ind w:firstLine="640" w:firstLineChars="200"/>
        <w:rPr>
          <w:rFonts w:eastAsia="方正仿宋_GBK"/>
          <w:sz w:val="32"/>
          <w:szCs w:val="32"/>
        </w:rPr>
      </w:pPr>
      <w:r>
        <w:rPr>
          <w:rFonts w:hint="eastAsia" w:ascii="方正楷体_GBK" w:eastAsia="方正楷体_GBK"/>
          <w:sz w:val="32"/>
          <w:szCs w:val="32"/>
        </w:rPr>
        <w:t>（二）支付方式。</w:t>
      </w:r>
      <w:r>
        <w:rPr>
          <w:rFonts w:eastAsia="方正仿宋_GBK"/>
          <w:sz w:val="32"/>
          <w:szCs w:val="32"/>
        </w:rPr>
        <w:t>土地整治项目要求在完成基础设施建设、土壤改良、第一年土壤培肥并组织当年种植，满足新增耕地指标验收入库要求的基础上，必须持续完成后三年培肥地力和组织全面种植。市政府按合同约定，支付社会投资方奖补资金。市政府计划支付社会投资方奖补资金的年份，市财政局将该支出资金纳入预算。</w:t>
      </w:r>
    </w:p>
    <w:p w14:paraId="65085CC8">
      <w:pPr>
        <w:spacing w:line="540" w:lineRule="exact"/>
        <w:ind w:firstLine="640" w:firstLineChars="200"/>
        <w:rPr>
          <w:rFonts w:ascii="方正黑体_GBK" w:eastAsia="方正黑体_GBK"/>
          <w:sz w:val="32"/>
          <w:szCs w:val="32"/>
        </w:rPr>
      </w:pPr>
      <w:r>
        <w:rPr>
          <w:rFonts w:hint="eastAsia" w:ascii="方正黑体_GBK" w:eastAsia="方正黑体_GBK"/>
          <w:sz w:val="32"/>
          <w:szCs w:val="32"/>
        </w:rPr>
        <w:t>五、相关部门责任分工</w:t>
      </w:r>
    </w:p>
    <w:p w14:paraId="7EB19BB3">
      <w:pPr>
        <w:spacing w:line="540" w:lineRule="exact"/>
        <w:ind w:firstLine="640" w:firstLineChars="200"/>
        <w:rPr>
          <w:rFonts w:eastAsia="方正仿宋_GBK"/>
          <w:sz w:val="32"/>
          <w:szCs w:val="32"/>
        </w:rPr>
      </w:pPr>
      <w:r>
        <w:rPr>
          <w:rFonts w:eastAsia="方正仿宋_GBK"/>
          <w:sz w:val="32"/>
          <w:szCs w:val="32"/>
        </w:rPr>
        <w:t>市自然资源局：负责土地整治规划和年度实施计划编制工作；负责项目可行性研究报告及设计报告评审、立项申报、项目实施指导、对符合条件奖补资金申请的核实及向市政府申报。负责组织项目新增耕地等别初步核定、指标入库备案、地籍变更、指标交易管理等工作。</w:t>
      </w:r>
    </w:p>
    <w:p w14:paraId="4764AD8C">
      <w:pPr>
        <w:spacing w:line="540" w:lineRule="exact"/>
        <w:ind w:firstLine="640" w:firstLineChars="200"/>
        <w:rPr>
          <w:rFonts w:eastAsia="方正仿宋_GBK"/>
          <w:sz w:val="32"/>
          <w:szCs w:val="32"/>
        </w:rPr>
      </w:pPr>
      <w:r>
        <w:rPr>
          <w:rFonts w:eastAsia="方正仿宋_GBK"/>
          <w:sz w:val="32"/>
          <w:szCs w:val="32"/>
        </w:rPr>
        <w:t>市财政局：负责项目资金使用全过程监督管理</w:t>
      </w:r>
      <w:r>
        <w:rPr>
          <w:rFonts w:hint="eastAsia" w:eastAsia="方正仿宋_GBK"/>
          <w:sz w:val="32"/>
          <w:szCs w:val="32"/>
        </w:rPr>
        <w:t>、</w:t>
      </w:r>
      <w:r>
        <w:rPr>
          <w:rFonts w:eastAsia="方正仿宋_GBK"/>
          <w:sz w:val="32"/>
          <w:szCs w:val="32"/>
        </w:rPr>
        <w:t>概算审核</w:t>
      </w:r>
      <w:r>
        <w:rPr>
          <w:rFonts w:hint="eastAsia" w:eastAsia="方正仿宋_GBK"/>
          <w:sz w:val="32"/>
          <w:szCs w:val="32"/>
        </w:rPr>
        <w:t>和</w:t>
      </w:r>
      <w:r>
        <w:rPr>
          <w:rFonts w:eastAsia="方正仿宋_GBK"/>
          <w:sz w:val="32"/>
          <w:szCs w:val="32"/>
        </w:rPr>
        <w:t>工程结（决）算评审及审批工作</w:t>
      </w:r>
      <w:r>
        <w:rPr>
          <w:rFonts w:hint="eastAsia" w:eastAsia="方正仿宋_GBK"/>
          <w:sz w:val="32"/>
          <w:szCs w:val="32"/>
        </w:rPr>
        <w:t>、</w:t>
      </w:r>
      <w:r>
        <w:rPr>
          <w:rFonts w:eastAsia="方正仿宋_GBK"/>
          <w:sz w:val="32"/>
          <w:szCs w:val="32"/>
        </w:rPr>
        <w:t>招投标监管工作</w:t>
      </w:r>
      <w:r>
        <w:rPr>
          <w:rFonts w:hint="eastAsia" w:eastAsia="方正仿宋_GBK"/>
          <w:sz w:val="32"/>
          <w:szCs w:val="32"/>
        </w:rPr>
        <w:t>、</w:t>
      </w:r>
      <w:r>
        <w:rPr>
          <w:rFonts w:eastAsia="方正仿宋_GBK"/>
          <w:sz w:val="32"/>
          <w:szCs w:val="32"/>
        </w:rPr>
        <w:t>负责补偿工作</w:t>
      </w:r>
      <w:r>
        <w:rPr>
          <w:rFonts w:hint="eastAsia" w:eastAsia="方正仿宋_GBK"/>
          <w:sz w:val="32"/>
          <w:szCs w:val="32"/>
        </w:rPr>
        <w:t>、</w:t>
      </w:r>
      <w:r>
        <w:rPr>
          <w:rFonts w:eastAsia="方正仿宋_GBK"/>
          <w:sz w:val="32"/>
          <w:szCs w:val="32"/>
        </w:rPr>
        <w:t>负责奖补资金列入预算工作</w:t>
      </w:r>
      <w:r>
        <w:rPr>
          <w:rFonts w:hint="eastAsia" w:eastAsia="方正仿宋_GBK"/>
          <w:sz w:val="32"/>
          <w:szCs w:val="32"/>
        </w:rPr>
        <w:t>、</w:t>
      </w:r>
      <w:r>
        <w:rPr>
          <w:rFonts w:eastAsia="方正仿宋_GBK"/>
          <w:sz w:val="32"/>
          <w:szCs w:val="32"/>
        </w:rPr>
        <w:t>项目前期经费保障工作。</w:t>
      </w:r>
    </w:p>
    <w:p w14:paraId="548D8A8B">
      <w:pPr>
        <w:spacing w:line="540" w:lineRule="exact"/>
        <w:ind w:firstLine="640" w:firstLineChars="200"/>
        <w:rPr>
          <w:rFonts w:eastAsia="方正仿宋_GBK"/>
          <w:sz w:val="32"/>
          <w:szCs w:val="32"/>
        </w:rPr>
      </w:pPr>
      <w:r>
        <w:rPr>
          <w:rFonts w:eastAsia="方正仿宋_GBK"/>
          <w:sz w:val="32"/>
          <w:szCs w:val="32"/>
        </w:rPr>
        <w:t>市审计局：负责项目预算执行和竣工决算审计及项目跟踪审计工作。负责项目资金使用全过程审计监督。负责审计土地征收补偿款。</w:t>
      </w:r>
    </w:p>
    <w:p w14:paraId="78EEE8C7">
      <w:pPr>
        <w:spacing w:line="540" w:lineRule="exact"/>
        <w:ind w:firstLine="640" w:firstLineChars="200"/>
        <w:rPr>
          <w:rFonts w:eastAsia="方正仿宋_GBK"/>
          <w:sz w:val="32"/>
          <w:szCs w:val="32"/>
        </w:rPr>
      </w:pPr>
      <w:r>
        <w:rPr>
          <w:rFonts w:eastAsia="方正仿宋_GBK"/>
          <w:sz w:val="32"/>
          <w:szCs w:val="32"/>
        </w:rPr>
        <w:t>市农业农村局：负责项目土壤质量评定、盐碱地改良技术、农业种植技术过程监管和指导等工作。</w:t>
      </w:r>
    </w:p>
    <w:p w14:paraId="28259047">
      <w:pPr>
        <w:spacing w:line="540" w:lineRule="exact"/>
        <w:ind w:firstLine="640" w:firstLineChars="200"/>
        <w:rPr>
          <w:rFonts w:eastAsia="方正仿宋_GBK"/>
          <w:sz w:val="32"/>
          <w:szCs w:val="32"/>
        </w:rPr>
      </w:pPr>
      <w:r>
        <w:rPr>
          <w:rFonts w:eastAsia="方正仿宋_GBK"/>
          <w:sz w:val="32"/>
          <w:szCs w:val="32"/>
        </w:rPr>
        <w:t>市水利局：负责项目区水资源论证批复、办理取水许可、水土保护审批及验收工作。</w:t>
      </w:r>
    </w:p>
    <w:p w14:paraId="4236CD2D">
      <w:pPr>
        <w:spacing w:line="540" w:lineRule="exact"/>
        <w:ind w:firstLine="640" w:firstLineChars="200"/>
        <w:rPr>
          <w:rFonts w:eastAsia="方正仿宋_GBK"/>
          <w:sz w:val="32"/>
          <w:szCs w:val="32"/>
        </w:rPr>
      </w:pPr>
      <w:r>
        <w:rPr>
          <w:rFonts w:eastAsia="方正仿宋_GBK"/>
          <w:sz w:val="32"/>
          <w:szCs w:val="32"/>
        </w:rPr>
        <w:t>市生态环境局：负责项目环境影响评价审批、验收工作。</w:t>
      </w:r>
    </w:p>
    <w:p w14:paraId="50CB2C83">
      <w:pPr>
        <w:spacing w:line="540" w:lineRule="exact"/>
        <w:ind w:firstLine="640" w:firstLineChars="200"/>
        <w:rPr>
          <w:rFonts w:eastAsia="方正仿宋_GBK"/>
          <w:sz w:val="32"/>
          <w:szCs w:val="32"/>
        </w:rPr>
      </w:pPr>
      <w:r>
        <w:rPr>
          <w:rFonts w:eastAsia="方正仿宋_GBK"/>
          <w:sz w:val="32"/>
          <w:szCs w:val="32"/>
        </w:rPr>
        <w:t>市林草局：负责项目是否占用湿地、林地和草原的清查、审核工作。</w:t>
      </w:r>
    </w:p>
    <w:p w14:paraId="43929A29">
      <w:pPr>
        <w:spacing w:line="540" w:lineRule="exact"/>
        <w:ind w:firstLine="640" w:firstLineChars="200"/>
        <w:rPr>
          <w:rFonts w:eastAsia="方正仿宋_GBK"/>
          <w:sz w:val="32"/>
          <w:szCs w:val="32"/>
        </w:rPr>
      </w:pPr>
      <w:r>
        <w:rPr>
          <w:rFonts w:eastAsia="方正仿宋_GBK"/>
          <w:sz w:val="32"/>
          <w:szCs w:val="32"/>
        </w:rPr>
        <w:t>市司法局：负责政府出台相关文件的审核，以及法律相关文件的业务指导工作。</w:t>
      </w:r>
    </w:p>
    <w:p w14:paraId="398B65C1">
      <w:pPr>
        <w:spacing w:line="540" w:lineRule="exact"/>
        <w:ind w:firstLine="640" w:firstLineChars="200"/>
        <w:rPr>
          <w:rFonts w:eastAsia="方正仿宋_GBK"/>
          <w:sz w:val="32"/>
          <w:szCs w:val="32"/>
        </w:rPr>
      </w:pPr>
      <w:r>
        <w:rPr>
          <w:rFonts w:eastAsia="方正仿宋_GBK"/>
          <w:sz w:val="32"/>
          <w:szCs w:val="32"/>
        </w:rPr>
        <w:t>市工信局：负责二龙苇场土地清查工作。</w:t>
      </w:r>
    </w:p>
    <w:p w14:paraId="1F911CDB">
      <w:pPr>
        <w:spacing w:line="540" w:lineRule="exact"/>
        <w:ind w:firstLine="640" w:firstLineChars="200"/>
        <w:rPr>
          <w:rFonts w:eastAsia="方正仿宋_GBK"/>
          <w:sz w:val="32"/>
          <w:szCs w:val="32"/>
        </w:rPr>
      </w:pPr>
      <w:r>
        <w:rPr>
          <w:rFonts w:hint="eastAsia" w:eastAsia="方正仿宋_GBK"/>
          <w:sz w:val="32"/>
          <w:szCs w:val="32"/>
        </w:rPr>
        <w:t>国网洮南市供电公司</w:t>
      </w:r>
      <w:r>
        <w:rPr>
          <w:rFonts w:eastAsia="方正仿宋_GBK"/>
          <w:sz w:val="32"/>
          <w:szCs w:val="32"/>
        </w:rPr>
        <w:t>：负责办理项目用电许可、增容协调、指导电力设计等工作。</w:t>
      </w:r>
    </w:p>
    <w:p w14:paraId="413BB1E7">
      <w:pPr>
        <w:spacing w:line="540" w:lineRule="exact"/>
        <w:ind w:firstLine="640" w:firstLineChars="200"/>
        <w:rPr>
          <w:rFonts w:eastAsia="方正仿宋_GBK"/>
          <w:sz w:val="32"/>
          <w:szCs w:val="32"/>
        </w:rPr>
      </w:pPr>
      <w:r>
        <w:rPr>
          <w:rFonts w:eastAsia="方正仿宋_GBK"/>
          <w:sz w:val="32"/>
          <w:szCs w:val="32"/>
        </w:rPr>
        <w:t>市公安局：负责项目推进过程中维稳工作。</w:t>
      </w:r>
    </w:p>
    <w:p w14:paraId="5F5ED69D">
      <w:pPr>
        <w:spacing w:line="540" w:lineRule="exact"/>
        <w:ind w:firstLine="640" w:firstLineChars="200"/>
        <w:rPr>
          <w:rFonts w:eastAsia="方正仿宋_GBK"/>
          <w:sz w:val="32"/>
          <w:szCs w:val="32"/>
        </w:rPr>
      </w:pPr>
      <w:r>
        <w:rPr>
          <w:rFonts w:hint="eastAsia" w:eastAsia="方正仿宋_GBK"/>
          <w:sz w:val="32"/>
          <w:szCs w:val="32"/>
        </w:rPr>
        <w:t>各</w:t>
      </w:r>
      <w:r>
        <w:rPr>
          <w:rFonts w:eastAsia="方正仿宋_GBK"/>
          <w:sz w:val="32"/>
          <w:szCs w:val="32"/>
        </w:rPr>
        <w:t>乡</w:t>
      </w:r>
      <w:r>
        <w:rPr>
          <w:rFonts w:hint="eastAsia" w:eastAsia="方正仿宋_GBK"/>
          <w:sz w:val="32"/>
          <w:szCs w:val="32"/>
        </w:rPr>
        <w:t>（</w:t>
      </w:r>
      <w:r>
        <w:rPr>
          <w:rFonts w:eastAsia="方正仿宋_GBK"/>
          <w:sz w:val="32"/>
          <w:szCs w:val="32"/>
        </w:rPr>
        <w:t>镇</w:t>
      </w:r>
      <w:r>
        <w:rPr>
          <w:rFonts w:hint="eastAsia" w:eastAsia="方正仿宋_GBK"/>
          <w:sz w:val="32"/>
          <w:szCs w:val="32"/>
        </w:rPr>
        <w:t>）、</w:t>
      </w:r>
      <w:r>
        <w:rPr>
          <w:rFonts w:eastAsia="方正仿宋_GBK"/>
          <w:sz w:val="32"/>
          <w:szCs w:val="32"/>
        </w:rPr>
        <w:t>相关场站：负责全面理清项目区地块清理、清查工作</w:t>
      </w:r>
      <w:r>
        <w:rPr>
          <w:rFonts w:hint="eastAsia" w:eastAsia="方正仿宋_GBK"/>
          <w:sz w:val="32"/>
          <w:szCs w:val="32"/>
        </w:rPr>
        <w:t>，</w:t>
      </w:r>
      <w:r>
        <w:rPr>
          <w:rFonts w:eastAsia="方正仿宋_GBK"/>
          <w:sz w:val="32"/>
          <w:szCs w:val="32"/>
        </w:rPr>
        <w:t>确保项目区权属清晰无争议。项目推进过程综合协调工作</w:t>
      </w:r>
      <w:r>
        <w:rPr>
          <w:rFonts w:hint="eastAsia" w:eastAsia="方正仿宋_GBK"/>
          <w:sz w:val="32"/>
          <w:szCs w:val="32"/>
        </w:rPr>
        <w:t>，</w:t>
      </w:r>
      <w:r>
        <w:rPr>
          <w:rFonts w:eastAsia="方正仿宋_GBK"/>
          <w:sz w:val="32"/>
          <w:szCs w:val="32"/>
        </w:rPr>
        <w:t>负责新增耕地发包、项目移交后的管护工作。</w:t>
      </w:r>
    </w:p>
    <w:p w14:paraId="0D4212A6">
      <w:pPr>
        <w:spacing w:line="540" w:lineRule="exact"/>
        <w:ind w:firstLine="640" w:firstLineChars="200"/>
        <w:rPr>
          <w:rFonts w:eastAsia="方正仿宋_GBK"/>
          <w:sz w:val="32"/>
          <w:szCs w:val="32"/>
        </w:rPr>
      </w:pPr>
      <w:r>
        <w:rPr>
          <w:rFonts w:eastAsia="方正仿宋_GBK"/>
          <w:sz w:val="32"/>
          <w:szCs w:val="32"/>
        </w:rPr>
        <w:t>洮南东北土地整治集团有限公司职责：承担项目实施的全面管理工作。积极谋划国家政策支持项目，争取上级补助资金，政策性贷款等。负责盐碱地等土地综合整治项目可研、设计和预算编制、工程实施、监理、种植管理、工程复核、耕地质量评定、移交管护等工作。</w:t>
      </w:r>
    </w:p>
    <w:p w14:paraId="1BE93DA1">
      <w:pPr>
        <w:spacing w:line="540" w:lineRule="exact"/>
        <w:ind w:firstLine="640" w:firstLineChars="200"/>
        <w:rPr>
          <w:rFonts w:ascii="方正黑体_GBK" w:eastAsia="方正黑体_GBK"/>
          <w:sz w:val="32"/>
          <w:szCs w:val="32"/>
        </w:rPr>
      </w:pPr>
      <w:r>
        <w:rPr>
          <w:rFonts w:hint="eastAsia" w:ascii="方正黑体_GBK" w:eastAsia="方正黑体_GBK"/>
          <w:sz w:val="32"/>
          <w:szCs w:val="32"/>
        </w:rPr>
        <w:t>六、保障措施</w:t>
      </w:r>
    </w:p>
    <w:p w14:paraId="7ADA65B1">
      <w:pPr>
        <w:spacing w:line="540" w:lineRule="exact"/>
        <w:ind w:firstLine="640" w:firstLineChars="200"/>
        <w:rPr>
          <w:rFonts w:eastAsia="方正仿宋_GBK"/>
          <w:sz w:val="32"/>
          <w:szCs w:val="32"/>
        </w:rPr>
      </w:pPr>
      <w:r>
        <w:rPr>
          <w:rFonts w:hint="eastAsia" w:ascii="方正楷体_GBK" w:eastAsia="方正楷体_GBK"/>
          <w:sz w:val="32"/>
          <w:szCs w:val="32"/>
        </w:rPr>
        <w:t>（一）加强组织领导。</w:t>
      </w:r>
      <w:r>
        <w:rPr>
          <w:rFonts w:eastAsia="方正仿宋_GBK"/>
          <w:sz w:val="32"/>
          <w:szCs w:val="32"/>
        </w:rPr>
        <w:t>洮南市盐碱地等耕地后备资源开发利用工作领导小组，负责全市各类资金投入盐碱地等耕地后备资源开发利用项目工作的组织领导，研究推进实施中的重大问题、重大决策、统筹协调、督促落实，议定相关重大事项。</w:t>
      </w:r>
      <w:r>
        <w:rPr>
          <w:rFonts w:eastAsia="方正仿宋_GBK"/>
          <w:sz w:val="32"/>
          <w:szCs w:val="32"/>
        </w:rPr>
        <w:tab/>
      </w:r>
    </w:p>
    <w:p w14:paraId="70C5601F">
      <w:pPr>
        <w:spacing w:line="540" w:lineRule="exact"/>
        <w:ind w:firstLine="640" w:firstLineChars="200"/>
        <w:rPr>
          <w:rFonts w:eastAsia="方正仿宋_GBK"/>
          <w:sz w:val="32"/>
          <w:szCs w:val="32"/>
        </w:rPr>
      </w:pPr>
      <w:r>
        <w:rPr>
          <w:rFonts w:hint="eastAsia" w:ascii="方正楷体_GBK" w:eastAsia="方正楷体_GBK"/>
          <w:sz w:val="32"/>
          <w:szCs w:val="32"/>
        </w:rPr>
        <w:t>（二）落实经费保障。</w:t>
      </w:r>
      <w:r>
        <w:rPr>
          <w:rFonts w:eastAsia="方正仿宋_GBK"/>
          <w:sz w:val="32"/>
          <w:szCs w:val="32"/>
        </w:rPr>
        <w:t>为保障项目工作顺利开展，项目前期清查、可研等经费纳入财政预算。项目投资引进社会资本参与，统筹各类专项资金，根据实际情况，制定资金监管使用制度。</w:t>
      </w:r>
    </w:p>
    <w:p w14:paraId="32F7D693">
      <w:pPr>
        <w:spacing w:line="540" w:lineRule="exact"/>
        <w:ind w:firstLine="640" w:firstLineChars="200"/>
        <w:rPr>
          <w:rFonts w:eastAsia="方正仿宋_GBK"/>
          <w:sz w:val="32"/>
          <w:szCs w:val="32"/>
        </w:rPr>
      </w:pPr>
      <w:r>
        <w:rPr>
          <w:rFonts w:hint="eastAsia" w:ascii="方正楷体_GBK" w:eastAsia="方正楷体_GBK"/>
          <w:sz w:val="32"/>
          <w:szCs w:val="32"/>
        </w:rPr>
        <w:t>（三）强化监督管理。</w:t>
      </w:r>
      <w:r>
        <w:rPr>
          <w:rFonts w:eastAsia="方正仿宋_GBK"/>
          <w:sz w:val="32"/>
          <w:szCs w:val="32"/>
        </w:rPr>
        <w:t>政府各职能部门负责实施过程中的技术指导和监督检查工作。要按照责任分工，密切配合，加强质量监督和业务指导。领导小组</w:t>
      </w:r>
      <w:r>
        <w:rPr>
          <w:rFonts w:hint="eastAsia" w:eastAsia="方正仿宋_GBK"/>
          <w:sz w:val="32"/>
          <w:szCs w:val="32"/>
        </w:rPr>
        <w:t>办公室</w:t>
      </w:r>
      <w:r>
        <w:rPr>
          <w:rFonts w:eastAsia="方正仿宋_GBK"/>
          <w:sz w:val="32"/>
          <w:szCs w:val="32"/>
        </w:rPr>
        <w:t xml:space="preserve">要对项目实施过程、实施环境、安全措施跟踪监督，保障项目顺利实施。  </w:t>
      </w:r>
    </w:p>
    <w:p w14:paraId="7BB2D575">
      <w:pPr>
        <w:spacing w:line="540" w:lineRule="exact"/>
        <w:ind w:firstLine="640" w:firstLineChars="200"/>
        <w:rPr>
          <w:rFonts w:ascii="方正黑体_GBK" w:eastAsia="方正黑体_GBK"/>
          <w:sz w:val="32"/>
          <w:szCs w:val="32"/>
        </w:rPr>
      </w:pPr>
      <w:r>
        <w:rPr>
          <w:rFonts w:hint="eastAsia" w:ascii="方正黑体_GBK" w:eastAsia="方正黑体_GBK"/>
          <w:sz w:val="32"/>
          <w:szCs w:val="32"/>
        </w:rPr>
        <w:t>七、后期管护</w:t>
      </w:r>
    </w:p>
    <w:p w14:paraId="41721BEE">
      <w:pPr>
        <w:spacing w:line="540" w:lineRule="exact"/>
        <w:ind w:firstLine="640" w:firstLineChars="200"/>
        <w:rPr>
          <w:rFonts w:eastAsia="方正仿宋_GBK"/>
          <w:sz w:val="32"/>
          <w:szCs w:val="32"/>
        </w:rPr>
      </w:pPr>
      <w:r>
        <w:rPr>
          <w:rFonts w:eastAsia="方正仿宋_GBK"/>
          <w:sz w:val="32"/>
          <w:szCs w:val="32"/>
        </w:rPr>
        <w:t>项目区建成后，对项目区的新增耕地及工程配套设施设备等移交到项目所在地乡</w:t>
      </w:r>
      <w:r>
        <w:rPr>
          <w:rFonts w:hint="eastAsia" w:eastAsia="方正仿宋_GBK"/>
          <w:sz w:val="32"/>
          <w:szCs w:val="32"/>
        </w:rPr>
        <w:t>（镇）</w:t>
      </w:r>
      <w:r>
        <w:rPr>
          <w:rFonts w:eastAsia="方正仿宋_GBK"/>
          <w:sz w:val="32"/>
          <w:szCs w:val="32"/>
        </w:rPr>
        <w:t>、场站等管护管理，保障土地整治工程长期稳定运行。</w:t>
      </w:r>
    </w:p>
    <w:p w14:paraId="11C5A0E1">
      <w:pPr>
        <w:spacing w:line="560" w:lineRule="exact"/>
        <w:ind w:firstLine="640" w:firstLineChars="200"/>
        <w:jc w:val="left"/>
        <w:rPr>
          <w:rFonts w:ascii="仿宋_GB2312" w:eastAsia="仿宋_GB2312" w:hAnsiTheme="majorEastAsia"/>
          <w:sz w:val="32"/>
          <w:szCs w:val="32"/>
        </w:rPr>
      </w:pPr>
    </w:p>
    <w:p w14:paraId="535F3EDE">
      <w:pPr>
        <w:spacing w:line="560" w:lineRule="exact"/>
        <w:jc w:val="left"/>
        <w:rPr>
          <w:rFonts w:ascii="仿宋_GB2312" w:eastAsia="仿宋_GB2312" w:hAnsiTheme="majorEastAsia"/>
          <w:sz w:val="32"/>
          <w:szCs w:val="32"/>
        </w:rPr>
      </w:pPr>
    </w:p>
    <w:p w14:paraId="59C0CD72">
      <w:pPr>
        <w:spacing w:line="560" w:lineRule="exact"/>
        <w:jc w:val="left"/>
        <w:rPr>
          <w:rFonts w:ascii="仿宋_GB2312" w:eastAsia="仿宋_GB2312" w:hAnsiTheme="majorEastAsia"/>
          <w:sz w:val="32"/>
          <w:szCs w:val="32"/>
        </w:rPr>
      </w:pPr>
    </w:p>
    <w:p w14:paraId="384259E7">
      <w:pPr>
        <w:spacing w:line="560" w:lineRule="exact"/>
        <w:jc w:val="left"/>
        <w:rPr>
          <w:rFonts w:ascii="仿宋_GB2312" w:eastAsia="仿宋_GB2312" w:hAnsiTheme="majorEastAsia"/>
          <w:sz w:val="32"/>
          <w:szCs w:val="32"/>
        </w:rPr>
      </w:pPr>
    </w:p>
    <w:p w14:paraId="1A3512FE">
      <w:pPr>
        <w:spacing w:line="560" w:lineRule="exact"/>
        <w:jc w:val="left"/>
        <w:rPr>
          <w:rFonts w:ascii="仿宋_GB2312" w:eastAsia="仿宋_GB2312" w:hAnsiTheme="majorEastAsia"/>
          <w:sz w:val="32"/>
          <w:szCs w:val="32"/>
        </w:rPr>
      </w:pPr>
    </w:p>
    <w:p w14:paraId="76F1074B">
      <w:pPr>
        <w:spacing w:line="560" w:lineRule="exact"/>
        <w:jc w:val="left"/>
        <w:rPr>
          <w:rFonts w:ascii="仿宋_GB2312" w:eastAsia="仿宋_GB2312" w:hAnsiTheme="majorEastAsia"/>
          <w:sz w:val="32"/>
          <w:szCs w:val="32"/>
        </w:rPr>
      </w:pPr>
    </w:p>
    <w:p w14:paraId="3964C714">
      <w:pPr>
        <w:spacing w:line="560" w:lineRule="exact"/>
        <w:jc w:val="left"/>
        <w:rPr>
          <w:rFonts w:ascii="仿宋_GB2312" w:eastAsia="仿宋_GB2312" w:hAnsiTheme="majorEastAsia"/>
          <w:sz w:val="32"/>
          <w:szCs w:val="32"/>
        </w:rPr>
      </w:pPr>
    </w:p>
    <w:p w14:paraId="0B5DF233">
      <w:pPr>
        <w:spacing w:line="560" w:lineRule="exact"/>
        <w:jc w:val="left"/>
        <w:rPr>
          <w:rFonts w:ascii="仿宋_GB2312" w:eastAsia="仿宋_GB2312" w:hAnsiTheme="majorEastAsia"/>
          <w:sz w:val="32"/>
          <w:szCs w:val="32"/>
        </w:rPr>
      </w:pPr>
    </w:p>
    <w:p w14:paraId="2DE8DA13">
      <w:pPr>
        <w:spacing w:line="560" w:lineRule="exact"/>
        <w:jc w:val="left"/>
        <w:rPr>
          <w:rFonts w:ascii="仿宋_GB2312" w:eastAsia="仿宋_GB2312" w:hAnsiTheme="majorEastAsia"/>
          <w:sz w:val="32"/>
          <w:szCs w:val="32"/>
        </w:rPr>
      </w:pPr>
    </w:p>
    <w:p w14:paraId="1F3888EB">
      <w:pPr>
        <w:spacing w:line="560" w:lineRule="exact"/>
        <w:jc w:val="left"/>
        <w:rPr>
          <w:rFonts w:ascii="仿宋_GB2312" w:eastAsia="仿宋_GB2312" w:hAnsiTheme="majorEastAsia"/>
          <w:sz w:val="32"/>
          <w:szCs w:val="32"/>
        </w:rPr>
      </w:pPr>
    </w:p>
    <w:p w14:paraId="5FBC8C66">
      <w:pPr>
        <w:spacing w:line="560" w:lineRule="exact"/>
        <w:jc w:val="left"/>
        <w:rPr>
          <w:rFonts w:ascii="仿宋_GB2312" w:eastAsia="仿宋_GB2312" w:hAnsiTheme="majorEastAsia"/>
          <w:sz w:val="32"/>
          <w:szCs w:val="32"/>
        </w:rPr>
      </w:pPr>
    </w:p>
    <w:p w14:paraId="3DE2228D">
      <w:pPr>
        <w:spacing w:line="560" w:lineRule="exact"/>
        <w:jc w:val="left"/>
        <w:rPr>
          <w:rFonts w:ascii="仿宋_GB2312" w:eastAsia="仿宋_GB2312" w:hAnsiTheme="majorEastAsia"/>
          <w:sz w:val="32"/>
          <w:szCs w:val="32"/>
        </w:rPr>
      </w:pPr>
    </w:p>
    <w:p w14:paraId="3A7CA1EC">
      <w:pPr>
        <w:spacing w:line="560" w:lineRule="exact"/>
        <w:jc w:val="left"/>
        <w:rPr>
          <w:rFonts w:ascii="仿宋_GB2312" w:eastAsia="仿宋_GB2312" w:hAnsiTheme="majorEastAsia"/>
          <w:sz w:val="32"/>
          <w:szCs w:val="32"/>
        </w:rPr>
      </w:pPr>
    </w:p>
    <w:p w14:paraId="18A2D66E">
      <w:pPr>
        <w:spacing w:line="560" w:lineRule="exact"/>
        <w:jc w:val="left"/>
        <w:rPr>
          <w:rFonts w:ascii="仿宋_GB2312" w:eastAsia="仿宋_GB2312" w:hAnsiTheme="majorEastAsia"/>
          <w:sz w:val="32"/>
          <w:szCs w:val="32"/>
        </w:rPr>
      </w:pPr>
    </w:p>
    <w:p w14:paraId="168DA33E">
      <w:pPr>
        <w:spacing w:line="560" w:lineRule="exact"/>
        <w:jc w:val="left"/>
        <w:rPr>
          <w:rFonts w:ascii="仿宋_GB2312" w:eastAsia="仿宋_GB2312" w:hAnsiTheme="majorEastAsia"/>
          <w:sz w:val="32"/>
          <w:szCs w:val="32"/>
        </w:rPr>
      </w:pPr>
    </w:p>
    <w:p w14:paraId="0BB4FB47">
      <w:pPr>
        <w:spacing w:line="540" w:lineRule="exact"/>
        <w:ind w:left="1121" w:leftChars="134" w:hanging="840" w:hangingChars="300"/>
        <w:rPr>
          <w:rFonts w:eastAsia="方正仿宋_GBK"/>
          <w:sz w:val="28"/>
          <w:szCs w:val="28"/>
        </w:rPr>
      </w:pPr>
      <w:r>
        <w:rPr>
          <w:rFonts w:eastAsia="方正仿宋_GBK"/>
          <w:sz w:val="28"/>
          <w:szCs w:val="28"/>
        </w:rPr>
        <w:pict>
          <v:line id="_x0000_s1039" o:spid="_x0000_s1039" o:spt="20" style="position:absolute;left:0pt;margin-left:3.3pt;margin-top:4.25pt;height:0pt;width:432pt;z-index:251659264;mso-width-relative:page;mso-height-relative:page;" coordsize="21600,21600">
            <v:path arrowok="t"/>
            <v:fill focussize="0,0"/>
            <v:stroke/>
            <v:imagedata o:title=""/>
            <o:lock v:ext="edit"/>
          </v:line>
        </w:pict>
      </w:r>
      <w:r>
        <w:rPr>
          <w:rFonts w:eastAsia="方正仿宋_GBK"/>
          <w:sz w:val="28"/>
          <w:szCs w:val="28"/>
        </w:rPr>
        <w:t>抄送：</w:t>
      </w:r>
      <w:r>
        <w:rPr>
          <w:rFonts w:eastAsia="方正仿宋_GBK"/>
          <w:spacing w:val="-8"/>
          <w:sz w:val="28"/>
          <w:szCs w:val="28"/>
        </w:rPr>
        <w:t>市委各部门，市纪委办公室，各人民团体，各民主党派，中省直驻洮各单位</w:t>
      </w:r>
      <w:r>
        <w:rPr>
          <w:rFonts w:eastAsia="方正仿宋_GBK"/>
          <w:sz w:val="28"/>
          <w:szCs w:val="28"/>
        </w:rPr>
        <w:t xml:space="preserve"> </w:t>
      </w:r>
    </w:p>
    <w:p w14:paraId="7B094D72">
      <w:pPr>
        <w:spacing w:line="540" w:lineRule="exact"/>
        <w:ind w:left="1121" w:leftChars="134" w:hanging="840" w:hangingChars="300"/>
        <w:rPr>
          <w:rFonts w:eastAsia="方正仿宋_GBK"/>
          <w:sz w:val="28"/>
          <w:szCs w:val="28"/>
        </w:rPr>
      </w:pPr>
      <w:r>
        <w:rPr>
          <w:rFonts w:eastAsia="方正仿宋_GBK"/>
          <w:sz w:val="28"/>
          <w:szCs w:val="28"/>
        </w:rPr>
        <w:t xml:space="preserve">      市人大办公室，市政协办公室，市监委，市法院，市检察院。                                     </w:t>
      </w:r>
    </w:p>
    <w:p w14:paraId="1FB98D47">
      <w:pPr>
        <w:spacing w:line="560" w:lineRule="exact"/>
        <w:ind w:firstLine="280" w:firstLineChars="100"/>
        <w:jc w:val="left"/>
        <w:rPr>
          <w:rFonts w:eastAsia="方正仿宋_GBK"/>
          <w:sz w:val="32"/>
          <w:szCs w:val="32"/>
        </w:rPr>
      </w:pPr>
      <w:r>
        <w:rPr>
          <w:rFonts w:eastAsia="方正仿宋_GBK"/>
          <w:sz w:val="28"/>
          <w:szCs w:val="28"/>
        </w:rPr>
        <w:pict>
          <v:line id="_x0000_s1040" o:spid="_x0000_s1040" o:spt="20" style="position:absolute;left:0pt;margin-left:1.15pt;margin-top:29.95pt;height:0pt;width:432pt;z-index:251660288;mso-width-relative:page;mso-height-relative:page;" coordsize="21600,21600">
            <v:path arrowok="t"/>
            <v:fill focussize="0,0"/>
            <v:stroke/>
            <v:imagedata o:title=""/>
            <o:lock v:ext="edit"/>
          </v:line>
        </w:pict>
      </w:r>
      <w:r>
        <w:rPr>
          <w:rFonts w:eastAsia="方正仿宋_GBK"/>
          <w:sz w:val="28"/>
          <w:szCs w:val="28"/>
        </w:rPr>
        <w:pict>
          <v:line id="_x0000_s1038" o:spid="_x0000_s1038" o:spt="20" style="position:absolute;left:0pt;margin-left:1.15pt;margin-top:1.35pt;height:0pt;width:432pt;z-index:251660288;mso-width-relative:page;mso-height-relative:page;" coordsize="21600,21600">
            <v:path arrowok="t"/>
            <v:fill focussize="0,0"/>
            <v:stroke/>
            <v:imagedata o:title=""/>
            <o:lock v:ext="edit"/>
          </v:line>
        </w:pict>
      </w:r>
      <w:r>
        <w:rPr>
          <w:rFonts w:eastAsia="方正仿宋_GBK"/>
          <w:sz w:val="28"/>
          <w:szCs w:val="28"/>
        </w:rPr>
        <w:t>洮南市人民政府办公室                    2023年3月1日印发</w:t>
      </w:r>
    </w:p>
    <w:sectPr>
      <w:headerReference r:id="rId3" w:type="default"/>
      <w:footerReference r:id="rId4" w:type="default"/>
      <w:footerReference r:id="rId5" w:type="even"/>
      <w:pgSz w:w="11906" w:h="16838"/>
      <w:pgMar w:top="2041" w:right="1531" w:bottom="2041" w:left="1531" w:header="851" w:footer="167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06316"/>
      <w:docPartObj>
        <w:docPartGallery w:val="AutoText"/>
      </w:docPartObj>
    </w:sdtPr>
    <w:sdtContent>
      <w:p w14:paraId="46628710">
        <w:pPr>
          <w:pStyle w:val="4"/>
          <w:jc w:val="right"/>
        </w:pPr>
        <w:r>
          <w:rPr>
            <w:rFonts w:eastAsia="方正仿宋_GBK"/>
            <w:sz w:val="28"/>
            <w:szCs w:val="28"/>
          </w:rPr>
          <w:t>—</w:t>
        </w:r>
        <w:r>
          <w:rPr>
            <w:rFonts w:eastAsia="方正仿宋_GBK"/>
            <w:sz w:val="28"/>
            <w:szCs w:val="28"/>
          </w:rPr>
          <w:fldChar w:fldCharType="begin"/>
        </w:r>
        <w:r>
          <w:rPr>
            <w:rFonts w:eastAsia="方正仿宋_GBK"/>
            <w:sz w:val="28"/>
            <w:szCs w:val="28"/>
          </w:rPr>
          <w:instrText xml:space="preserve"> PAGE   \* MERGEFORMAT </w:instrText>
        </w:r>
        <w:r>
          <w:rPr>
            <w:rFonts w:eastAsia="方正仿宋_GBK"/>
            <w:sz w:val="28"/>
            <w:szCs w:val="28"/>
          </w:rPr>
          <w:fldChar w:fldCharType="separate"/>
        </w:r>
        <w:r>
          <w:rPr>
            <w:rFonts w:eastAsia="方正仿宋_GBK"/>
            <w:sz w:val="28"/>
            <w:szCs w:val="28"/>
            <w:lang w:val="zh-CN"/>
          </w:rPr>
          <w:t>9</w:t>
        </w:r>
        <w:r>
          <w:rPr>
            <w:rFonts w:eastAsia="方正仿宋_GBK"/>
            <w:sz w:val="28"/>
            <w:szCs w:val="28"/>
          </w:rPr>
          <w:fldChar w:fldCharType="end"/>
        </w:r>
        <w:r>
          <w:rPr>
            <w:rFonts w:eastAsia="方正仿宋_GBK"/>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06310"/>
      <w:docPartObj>
        <w:docPartGallery w:val="AutoText"/>
      </w:docPartObj>
    </w:sdtPr>
    <w:sdtEndPr>
      <w:rPr>
        <w:rFonts w:hint="eastAsia" w:ascii="方正仿宋_GBK" w:eastAsia="方正仿宋_GBK"/>
        <w:sz w:val="28"/>
        <w:szCs w:val="28"/>
      </w:rPr>
    </w:sdtEndPr>
    <w:sdtContent>
      <w:p w14:paraId="3D0FF5CE">
        <w:pPr>
          <w:pStyle w:val="4"/>
        </w:pPr>
        <w:r>
          <w:rPr>
            <w:rFonts w:eastAsia="方正仿宋_GBK"/>
            <w:sz w:val="28"/>
            <w:szCs w:val="28"/>
          </w:rPr>
          <w:t>—</w:t>
        </w:r>
        <w:r>
          <w:rPr>
            <w:rFonts w:eastAsia="方正仿宋_GBK"/>
            <w:sz w:val="28"/>
            <w:szCs w:val="28"/>
          </w:rPr>
          <w:fldChar w:fldCharType="begin"/>
        </w:r>
        <w:r>
          <w:rPr>
            <w:rFonts w:eastAsia="方正仿宋_GBK"/>
            <w:sz w:val="28"/>
            <w:szCs w:val="28"/>
          </w:rPr>
          <w:instrText xml:space="preserve"> PAGE   \* MERGEFORMAT </w:instrText>
        </w:r>
        <w:r>
          <w:rPr>
            <w:rFonts w:eastAsia="方正仿宋_GBK"/>
            <w:sz w:val="28"/>
            <w:szCs w:val="28"/>
          </w:rPr>
          <w:fldChar w:fldCharType="separate"/>
        </w:r>
        <w:r>
          <w:rPr>
            <w:rFonts w:eastAsia="方正仿宋_GBK"/>
            <w:sz w:val="28"/>
            <w:szCs w:val="28"/>
            <w:lang w:val="zh-CN"/>
          </w:rPr>
          <w:t>10</w:t>
        </w:r>
        <w:r>
          <w:rPr>
            <w:rFonts w:eastAsia="方正仿宋_GBK"/>
            <w:sz w:val="28"/>
            <w:szCs w:val="28"/>
          </w:rPr>
          <w:fldChar w:fldCharType="end"/>
        </w:r>
        <w:r>
          <w:rPr>
            <w:rFonts w:eastAsia="方正仿宋_GBK"/>
            <w:sz w:val="28"/>
            <w:szCs w:val="28"/>
          </w:rPr>
          <w:t>—</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31544">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0A4E"/>
    <w:rsid w:val="00015123"/>
    <w:rsid w:val="000177D8"/>
    <w:rsid w:val="00023C56"/>
    <w:rsid w:val="00032949"/>
    <w:rsid w:val="0003492C"/>
    <w:rsid w:val="00036148"/>
    <w:rsid w:val="00037739"/>
    <w:rsid w:val="00060E5F"/>
    <w:rsid w:val="0006309E"/>
    <w:rsid w:val="00063858"/>
    <w:rsid w:val="0007126F"/>
    <w:rsid w:val="00074985"/>
    <w:rsid w:val="00076DC6"/>
    <w:rsid w:val="000831D8"/>
    <w:rsid w:val="00091F5F"/>
    <w:rsid w:val="00092110"/>
    <w:rsid w:val="00095686"/>
    <w:rsid w:val="000A2F64"/>
    <w:rsid w:val="000A48C6"/>
    <w:rsid w:val="000B50F6"/>
    <w:rsid w:val="000B67F7"/>
    <w:rsid w:val="000C3500"/>
    <w:rsid w:val="000C5F51"/>
    <w:rsid w:val="000D03C8"/>
    <w:rsid w:val="000D281C"/>
    <w:rsid w:val="000D58AF"/>
    <w:rsid w:val="000D6861"/>
    <w:rsid w:val="000D78E4"/>
    <w:rsid w:val="000D7B68"/>
    <w:rsid w:val="000E1097"/>
    <w:rsid w:val="000E2197"/>
    <w:rsid w:val="000E32B2"/>
    <w:rsid w:val="000F4785"/>
    <w:rsid w:val="00106294"/>
    <w:rsid w:val="001077D8"/>
    <w:rsid w:val="0012042F"/>
    <w:rsid w:val="0012209B"/>
    <w:rsid w:val="00144F61"/>
    <w:rsid w:val="00152F84"/>
    <w:rsid w:val="00160405"/>
    <w:rsid w:val="001627BC"/>
    <w:rsid w:val="00163895"/>
    <w:rsid w:val="00172A27"/>
    <w:rsid w:val="00172DF2"/>
    <w:rsid w:val="001B1AD2"/>
    <w:rsid w:val="001B1D99"/>
    <w:rsid w:val="001B3C35"/>
    <w:rsid w:val="001C00DF"/>
    <w:rsid w:val="001C00FE"/>
    <w:rsid w:val="001C5CB1"/>
    <w:rsid w:val="001C6B09"/>
    <w:rsid w:val="001D005E"/>
    <w:rsid w:val="001D09D2"/>
    <w:rsid w:val="001D1D3B"/>
    <w:rsid w:val="001D267B"/>
    <w:rsid w:val="001D4AE9"/>
    <w:rsid w:val="001D5B72"/>
    <w:rsid w:val="001E69C7"/>
    <w:rsid w:val="00217B1A"/>
    <w:rsid w:val="002232E4"/>
    <w:rsid w:val="002239DD"/>
    <w:rsid w:val="002240B7"/>
    <w:rsid w:val="002362E9"/>
    <w:rsid w:val="002548A3"/>
    <w:rsid w:val="0026522F"/>
    <w:rsid w:val="00275B95"/>
    <w:rsid w:val="00282ABB"/>
    <w:rsid w:val="00291F42"/>
    <w:rsid w:val="00292D6C"/>
    <w:rsid w:val="0029685D"/>
    <w:rsid w:val="002A08C2"/>
    <w:rsid w:val="002A1695"/>
    <w:rsid w:val="002B0F60"/>
    <w:rsid w:val="002B2411"/>
    <w:rsid w:val="002C1AD7"/>
    <w:rsid w:val="002C2EF3"/>
    <w:rsid w:val="002C4C5C"/>
    <w:rsid w:val="002D014E"/>
    <w:rsid w:val="002D2328"/>
    <w:rsid w:val="002D3466"/>
    <w:rsid w:val="002D3868"/>
    <w:rsid w:val="002D4AE5"/>
    <w:rsid w:val="002D565A"/>
    <w:rsid w:val="002D5BAF"/>
    <w:rsid w:val="002E084C"/>
    <w:rsid w:val="002E3F00"/>
    <w:rsid w:val="002F39C0"/>
    <w:rsid w:val="00302073"/>
    <w:rsid w:val="0030374D"/>
    <w:rsid w:val="00310E35"/>
    <w:rsid w:val="00314C6B"/>
    <w:rsid w:val="00315311"/>
    <w:rsid w:val="00326FDD"/>
    <w:rsid w:val="00330A22"/>
    <w:rsid w:val="0033154E"/>
    <w:rsid w:val="00333135"/>
    <w:rsid w:val="00347B1F"/>
    <w:rsid w:val="0035250C"/>
    <w:rsid w:val="003532FE"/>
    <w:rsid w:val="00353F60"/>
    <w:rsid w:val="003560A2"/>
    <w:rsid w:val="00357296"/>
    <w:rsid w:val="00360BD0"/>
    <w:rsid w:val="0036172E"/>
    <w:rsid w:val="00367C08"/>
    <w:rsid w:val="0039024C"/>
    <w:rsid w:val="00393B8D"/>
    <w:rsid w:val="00394BB1"/>
    <w:rsid w:val="003A6C6C"/>
    <w:rsid w:val="003A7FA5"/>
    <w:rsid w:val="003B1E99"/>
    <w:rsid w:val="003B1FE1"/>
    <w:rsid w:val="003B451D"/>
    <w:rsid w:val="003B6C38"/>
    <w:rsid w:val="003C0688"/>
    <w:rsid w:val="003C6544"/>
    <w:rsid w:val="003D0EA7"/>
    <w:rsid w:val="003D5835"/>
    <w:rsid w:val="003D6F51"/>
    <w:rsid w:val="003E1C59"/>
    <w:rsid w:val="003E1C77"/>
    <w:rsid w:val="003E2D78"/>
    <w:rsid w:val="003F134B"/>
    <w:rsid w:val="003F38DE"/>
    <w:rsid w:val="003F5378"/>
    <w:rsid w:val="0040334A"/>
    <w:rsid w:val="00405F83"/>
    <w:rsid w:val="00406ED8"/>
    <w:rsid w:val="00415092"/>
    <w:rsid w:val="004166A4"/>
    <w:rsid w:val="0042088B"/>
    <w:rsid w:val="00420D48"/>
    <w:rsid w:val="00426012"/>
    <w:rsid w:val="0042778D"/>
    <w:rsid w:val="00430306"/>
    <w:rsid w:val="00434663"/>
    <w:rsid w:val="00440792"/>
    <w:rsid w:val="00443053"/>
    <w:rsid w:val="00444505"/>
    <w:rsid w:val="00446806"/>
    <w:rsid w:val="00457CA4"/>
    <w:rsid w:val="00460647"/>
    <w:rsid w:val="00465987"/>
    <w:rsid w:val="00471F65"/>
    <w:rsid w:val="00473CA8"/>
    <w:rsid w:val="004772CC"/>
    <w:rsid w:val="0048146A"/>
    <w:rsid w:val="00481584"/>
    <w:rsid w:val="00485602"/>
    <w:rsid w:val="004877E5"/>
    <w:rsid w:val="00487CD0"/>
    <w:rsid w:val="004B1377"/>
    <w:rsid w:val="004B517F"/>
    <w:rsid w:val="004C706C"/>
    <w:rsid w:val="004D30E9"/>
    <w:rsid w:val="004D580A"/>
    <w:rsid w:val="004E3FF5"/>
    <w:rsid w:val="004E600A"/>
    <w:rsid w:val="004E7608"/>
    <w:rsid w:val="00515059"/>
    <w:rsid w:val="00515BA9"/>
    <w:rsid w:val="00522771"/>
    <w:rsid w:val="00522B7D"/>
    <w:rsid w:val="005231E9"/>
    <w:rsid w:val="00526D07"/>
    <w:rsid w:val="00527635"/>
    <w:rsid w:val="00530E2C"/>
    <w:rsid w:val="00531ED5"/>
    <w:rsid w:val="00537954"/>
    <w:rsid w:val="00546EF6"/>
    <w:rsid w:val="005506C3"/>
    <w:rsid w:val="00550B1E"/>
    <w:rsid w:val="00567A29"/>
    <w:rsid w:val="00583FAA"/>
    <w:rsid w:val="00590F0B"/>
    <w:rsid w:val="00594D6C"/>
    <w:rsid w:val="005968AF"/>
    <w:rsid w:val="005B05F6"/>
    <w:rsid w:val="005B17AF"/>
    <w:rsid w:val="005B4EE3"/>
    <w:rsid w:val="005B766D"/>
    <w:rsid w:val="005C10BF"/>
    <w:rsid w:val="005C1BE8"/>
    <w:rsid w:val="005C6B60"/>
    <w:rsid w:val="005E6A4E"/>
    <w:rsid w:val="005F2226"/>
    <w:rsid w:val="005F56A7"/>
    <w:rsid w:val="005F70CA"/>
    <w:rsid w:val="005F7FA4"/>
    <w:rsid w:val="00603D82"/>
    <w:rsid w:val="00603E43"/>
    <w:rsid w:val="00605FDD"/>
    <w:rsid w:val="0060768C"/>
    <w:rsid w:val="006077D8"/>
    <w:rsid w:val="006078CC"/>
    <w:rsid w:val="00612A28"/>
    <w:rsid w:val="00615117"/>
    <w:rsid w:val="00615312"/>
    <w:rsid w:val="00632552"/>
    <w:rsid w:val="00640273"/>
    <w:rsid w:val="00642E63"/>
    <w:rsid w:val="00650D9A"/>
    <w:rsid w:val="006545C4"/>
    <w:rsid w:val="00654E20"/>
    <w:rsid w:val="006638B3"/>
    <w:rsid w:val="00665A94"/>
    <w:rsid w:val="00670D11"/>
    <w:rsid w:val="006744E5"/>
    <w:rsid w:val="006747F5"/>
    <w:rsid w:val="006754DA"/>
    <w:rsid w:val="006817B9"/>
    <w:rsid w:val="006819FF"/>
    <w:rsid w:val="00687190"/>
    <w:rsid w:val="00696801"/>
    <w:rsid w:val="00696A56"/>
    <w:rsid w:val="00697ACB"/>
    <w:rsid w:val="006C20C4"/>
    <w:rsid w:val="006C3E66"/>
    <w:rsid w:val="006D04E9"/>
    <w:rsid w:val="006D0E79"/>
    <w:rsid w:val="006D4B3C"/>
    <w:rsid w:val="006D59D5"/>
    <w:rsid w:val="006E5209"/>
    <w:rsid w:val="006E5A95"/>
    <w:rsid w:val="007015CF"/>
    <w:rsid w:val="007136CF"/>
    <w:rsid w:val="00716BD6"/>
    <w:rsid w:val="00721C3D"/>
    <w:rsid w:val="00722203"/>
    <w:rsid w:val="007237EB"/>
    <w:rsid w:val="00730FC9"/>
    <w:rsid w:val="00733B2E"/>
    <w:rsid w:val="00734FD6"/>
    <w:rsid w:val="007364EA"/>
    <w:rsid w:val="007474D8"/>
    <w:rsid w:val="00751C66"/>
    <w:rsid w:val="007545AE"/>
    <w:rsid w:val="00756246"/>
    <w:rsid w:val="00756A36"/>
    <w:rsid w:val="007636E5"/>
    <w:rsid w:val="007659B2"/>
    <w:rsid w:val="0077731F"/>
    <w:rsid w:val="00781990"/>
    <w:rsid w:val="007824E0"/>
    <w:rsid w:val="0078728F"/>
    <w:rsid w:val="007905B0"/>
    <w:rsid w:val="007927F3"/>
    <w:rsid w:val="007955F7"/>
    <w:rsid w:val="00796E4F"/>
    <w:rsid w:val="007B4449"/>
    <w:rsid w:val="007B557B"/>
    <w:rsid w:val="007C12CC"/>
    <w:rsid w:val="007D253D"/>
    <w:rsid w:val="007E3440"/>
    <w:rsid w:val="007E4601"/>
    <w:rsid w:val="007E6A0B"/>
    <w:rsid w:val="007F3042"/>
    <w:rsid w:val="007F635F"/>
    <w:rsid w:val="00806944"/>
    <w:rsid w:val="00810930"/>
    <w:rsid w:val="0081574A"/>
    <w:rsid w:val="00816502"/>
    <w:rsid w:val="00834633"/>
    <w:rsid w:val="00834CCD"/>
    <w:rsid w:val="008351C6"/>
    <w:rsid w:val="008360FE"/>
    <w:rsid w:val="008372DC"/>
    <w:rsid w:val="00841F3A"/>
    <w:rsid w:val="00842DFA"/>
    <w:rsid w:val="00844F61"/>
    <w:rsid w:val="00855D48"/>
    <w:rsid w:val="0086220C"/>
    <w:rsid w:val="008735FE"/>
    <w:rsid w:val="0087429F"/>
    <w:rsid w:val="00874D4C"/>
    <w:rsid w:val="008804F6"/>
    <w:rsid w:val="0088369A"/>
    <w:rsid w:val="0088477B"/>
    <w:rsid w:val="00884F54"/>
    <w:rsid w:val="00885D42"/>
    <w:rsid w:val="008878B3"/>
    <w:rsid w:val="00892FAC"/>
    <w:rsid w:val="008A23DF"/>
    <w:rsid w:val="008B25CB"/>
    <w:rsid w:val="008B79BB"/>
    <w:rsid w:val="008D2C41"/>
    <w:rsid w:val="008E1DA0"/>
    <w:rsid w:val="008E67E9"/>
    <w:rsid w:val="008F200F"/>
    <w:rsid w:val="008F38EF"/>
    <w:rsid w:val="00900363"/>
    <w:rsid w:val="0090249A"/>
    <w:rsid w:val="0090591D"/>
    <w:rsid w:val="009101FD"/>
    <w:rsid w:val="00910882"/>
    <w:rsid w:val="00914D66"/>
    <w:rsid w:val="00923E32"/>
    <w:rsid w:val="00930006"/>
    <w:rsid w:val="0093119E"/>
    <w:rsid w:val="0094306B"/>
    <w:rsid w:val="00943A47"/>
    <w:rsid w:val="009461BA"/>
    <w:rsid w:val="00946FDF"/>
    <w:rsid w:val="00952057"/>
    <w:rsid w:val="009610CA"/>
    <w:rsid w:val="00963FE0"/>
    <w:rsid w:val="00971B18"/>
    <w:rsid w:val="00972FEA"/>
    <w:rsid w:val="00973702"/>
    <w:rsid w:val="00973ADC"/>
    <w:rsid w:val="00974882"/>
    <w:rsid w:val="00984F35"/>
    <w:rsid w:val="0099514E"/>
    <w:rsid w:val="00995754"/>
    <w:rsid w:val="009A4FD6"/>
    <w:rsid w:val="009A7C1B"/>
    <w:rsid w:val="009C0240"/>
    <w:rsid w:val="009D3573"/>
    <w:rsid w:val="009D6E7A"/>
    <w:rsid w:val="00A02D7A"/>
    <w:rsid w:val="00A12EAD"/>
    <w:rsid w:val="00A13FBC"/>
    <w:rsid w:val="00A16AE3"/>
    <w:rsid w:val="00A17839"/>
    <w:rsid w:val="00A304DE"/>
    <w:rsid w:val="00A367F8"/>
    <w:rsid w:val="00A42CB9"/>
    <w:rsid w:val="00A46CA2"/>
    <w:rsid w:val="00A477C3"/>
    <w:rsid w:val="00A51D19"/>
    <w:rsid w:val="00A53B4F"/>
    <w:rsid w:val="00A548C8"/>
    <w:rsid w:val="00A56599"/>
    <w:rsid w:val="00A6136F"/>
    <w:rsid w:val="00A62B62"/>
    <w:rsid w:val="00A6496C"/>
    <w:rsid w:val="00A74E5C"/>
    <w:rsid w:val="00A77FFE"/>
    <w:rsid w:val="00A80DAD"/>
    <w:rsid w:val="00A82BE8"/>
    <w:rsid w:val="00AA2C2C"/>
    <w:rsid w:val="00AC0FF6"/>
    <w:rsid w:val="00AC1ED9"/>
    <w:rsid w:val="00AC28B8"/>
    <w:rsid w:val="00AC3797"/>
    <w:rsid w:val="00AC6798"/>
    <w:rsid w:val="00AD3A58"/>
    <w:rsid w:val="00AD4B0A"/>
    <w:rsid w:val="00AD6EB0"/>
    <w:rsid w:val="00B0387D"/>
    <w:rsid w:val="00B0391E"/>
    <w:rsid w:val="00B04C31"/>
    <w:rsid w:val="00B0504E"/>
    <w:rsid w:val="00B11E16"/>
    <w:rsid w:val="00B25715"/>
    <w:rsid w:val="00B27297"/>
    <w:rsid w:val="00B31620"/>
    <w:rsid w:val="00B31C1A"/>
    <w:rsid w:val="00B43F03"/>
    <w:rsid w:val="00B44C00"/>
    <w:rsid w:val="00B46805"/>
    <w:rsid w:val="00B51B0F"/>
    <w:rsid w:val="00B537FD"/>
    <w:rsid w:val="00B62D82"/>
    <w:rsid w:val="00B73355"/>
    <w:rsid w:val="00B76ED9"/>
    <w:rsid w:val="00B777C5"/>
    <w:rsid w:val="00B8580A"/>
    <w:rsid w:val="00B86A79"/>
    <w:rsid w:val="00B8729F"/>
    <w:rsid w:val="00B96FA8"/>
    <w:rsid w:val="00BA043C"/>
    <w:rsid w:val="00BC6B33"/>
    <w:rsid w:val="00BF0C4B"/>
    <w:rsid w:val="00BF610B"/>
    <w:rsid w:val="00BF7980"/>
    <w:rsid w:val="00C01647"/>
    <w:rsid w:val="00C021EE"/>
    <w:rsid w:val="00C16532"/>
    <w:rsid w:val="00C17FEC"/>
    <w:rsid w:val="00C24E0C"/>
    <w:rsid w:val="00C2508B"/>
    <w:rsid w:val="00C25B89"/>
    <w:rsid w:val="00C2610A"/>
    <w:rsid w:val="00C3541E"/>
    <w:rsid w:val="00C35CF3"/>
    <w:rsid w:val="00C45210"/>
    <w:rsid w:val="00C518B3"/>
    <w:rsid w:val="00C520C0"/>
    <w:rsid w:val="00C5579C"/>
    <w:rsid w:val="00C61430"/>
    <w:rsid w:val="00C8756B"/>
    <w:rsid w:val="00C91041"/>
    <w:rsid w:val="00CB1759"/>
    <w:rsid w:val="00CB18A6"/>
    <w:rsid w:val="00CB4E40"/>
    <w:rsid w:val="00CB7272"/>
    <w:rsid w:val="00CC1B08"/>
    <w:rsid w:val="00CC36B7"/>
    <w:rsid w:val="00CC3CBF"/>
    <w:rsid w:val="00CC6678"/>
    <w:rsid w:val="00CD167D"/>
    <w:rsid w:val="00CD3A0F"/>
    <w:rsid w:val="00CE3FFB"/>
    <w:rsid w:val="00CE51E1"/>
    <w:rsid w:val="00CE6D53"/>
    <w:rsid w:val="00CF0D8E"/>
    <w:rsid w:val="00CF1CF0"/>
    <w:rsid w:val="00CF3E84"/>
    <w:rsid w:val="00D00D1E"/>
    <w:rsid w:val="00D010E3"/>
    <w:rsid w:val="00D02368"/>
    <w:rsid w:val="00D05C16"/>
    <w:rsid w:val="00D05E5E"/>
    <w:rsid w:val="00D107CE"/>
    <w:rsid w:val="00D12BCC"/>
    <w:rsid w:val="00D22513"/>
    <w:rsid w:val="00D241FD"/>
    <w:rsid w:val="00D54992"/>
    <w:rsid w:val="00D555F7"/>
    <w:rsid w:val="00D603B4"/>
    <w:rsid w:val="00D6470F"/>
    <w:rsid w:val="00D65037"/>
    <w:rsid w:val="00D65A78"/>
    <w:rsid w:val="00D6708B"/>
    <w:rsid w:val="00D67738"/>
    <w:rsid w:val="00D70DD4"/>
    <w:rsid w:val="00D71D1F"/>
    <w:rsid w:val="00D7595B"/>
    <w:rsid w:val="00D835F9"/>
    <w:rsid w:val="00D852A3"/>
    <w:rsid w:val="00D960B5"/>
    <w:rsid w:val="00DA212A"/>
    <w:rsid w:val="00DA793D"/>
    <w:rsid w:val="00DB092D"/>
    <w:rsid w:val="00DC1E20"/>
    <w:rsid w:val="00DD387E"/>
    <w:rsid w:val="00DD395D"/>
    <w:rsid w:val="00DD3C49"/>
    <w:rsid w:val="00DE1ABB"/>
    <w:rsid w:val="00DE2148"/>
    <w:rsid w:val="00DE3704"/>
    <w:rsid w:val="00DE685F"/>
    <w:rsid w:val="00DF19C4"/>
    <w:rsid w:val="00DF29AD"/>
    <w:rsid w:val="00DF44E0"/>
    <w:rsid w:val="00DF77B7"/>
    <w:rsid w:val="00DF783D"/>
    <w:rsid w:val="00DF7FE9"/>
    <w:rsid w:val="00E0202C"/>
    <w:rsid w:val="00E03851"/>
    <w:rsid w:val="00E038C3"/>
    <w:rsid w:val="00E049D6"/>
    <w:rsid w:val="00E04B5D"/>
    <w:rsid w:val="00E0635D"/>
    <w:rsid w:val="00E1007C"/>
    <w:rsid w:val="00E17DC8"/>
    <w:rsid w:val="00E222C9"/>
    <w:rsid w:val="00E23957"/>
    <w:rsid w:val="00E27EB0"/>
    <w:rsid w:val="00E34102"/>
    <w:rsid w:val="00E475DB"/>
    <w:rsid w:val="00E50026"/>
    <w:rsid w:val="00E51F20"/>
    <w:rsid w:val="00E52498"/>
    <w:rsid w:val="00E60996"/>
    <w:rsid w:val="00E73FA2"/>
    <w:rsid w:val="00E767B3"/>
    <w:rsid w:val="00E868F9"/>
    <w:rsid w:val="00E92C49"/>
    <w:rsid w:val="00EA2117"/>
    <w:rsid w:val="00EC0DC5"/>
    <w:rsid w:val="00EC6FF5"/>
    <w:rsid w:val="00EE12A2"/>
    <w:rsid w:val="00EE2337"/>
    <w:rsid w:val="00EE3CFF"/>
    <w:rsid w:val="00EE7581"/>
    <w:rsid w:val="00EE788A"/>
    <w:rsid w:val="00EF3162"/>
    <w:rsid w:val="00EF53A2"/>
    <w:rsid w:val="00EF590F"/>
    <w:rsid w:val="00F00BB1"/>
    <w:rsid w:val="00F0232B"/>
    <w:rsid w:val="00F10907"/>
    <w:rsid w:val="00F1523E"/>
    <w:rsid w:val="00F30DB7"/>
    <w:rsid w:val="00F31C44"/>
    <w:rsid w:val="00F4078B"/>
    <w:rsid w:val="00F4778B"/>
    <w:rsid w:val="00F63566"/>
    <w:rsid w:val="00F63569"/>
    <w:rsid w:val="00F71AA5"/>
    <w:rsid w:val="00F72B5A"/>
    <w:rsid w:val="00F73F5B"/>
    <w:rsid w:val="00F76A2C"/>
    <w:rsid w:val="00F86BCB"/>
    <w:rsid w:val="00F903CD"/>
    <w:rsid w:val="00FA2CFD"/>
    <w:rsid w:val="00FA322D"/>
    <w:rsid w:val="00FA432E"/>
    <w:rsid w:val="00FA6106"/>
    <w:rsid w:val="00FA697E"/>
    <w:rsid w:val="00FA7511"/>
    <w:rsid w:val="00FB19DB"/>
    <w:rsid w:val="00FB5DA6"/>
    <w:rsid w:val="00FB6EE4"/>
    <w:rsid w:val="00FB7E3B"/>
    <w:rsid w:val="00FC7919"/>
    <w:rsid w:val="00FD0BBE"/>
    <w:rsid w:val="00FD0EC1"/>
    <w:rsid w:val="00FD53DC"/>
    <w:rsid w:val="00FD6F85"/>
    <w:rsid w:val="00FE09BB"/>
    <w:rsid w:val="00FE3D4A"/>
    <w:rsid w:val="00FE72A4"/>
    <w:rsid w:val="0C8D22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qFormat/>
    <w:uiPriority w:val="0"/>
    <w:rPr>
      <w:sz w:val="18"/>
      <w:szCs w:val="18"/>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bCs/>
    </w:rPr>
  </w:style>
  <w:style w:type="character" w:styleId="11">
    <w:name w:val="page number"/>
    <w:basedOn w:val="9"/>
    <w:uiPriority w:val="0"/>
  </w:style>
  <w:style w:type="character" w:styleId="12">
    <w:name w:val="Hyperlink"/>
    <w:basedOn w:val="9"/>
    <w:qFormat/>
    <w:uiPriority w:val="0"/>
    <w:rPr>
      <w:color w:val="0000FF"/>
      <w:u w:val="single"/>
    </w:rPr>
  </w:style>
  <w:style w:type="paragraph" w:customStyle="1" w:styleId="13">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styleId="14">
    <w:name w:val="List Paragraph"/>
    <w:basedOn w:val="1"/>
    <w:qFormat/>
    <w:uiPriority w:val="34"/>
    <w:pPr>
      <w:ind w:firstLine="420" w:firstLineChars="200"/>
    </w:pPr>
  </w:style>
  <w:style w:type="character" w:customStyle="1" w:styleId="15">
    <w:name w:val="页脚 Char"/>
    <w:basedOn w:val="9"/>
    <w:link w:val="4"/>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39"/>
    <customShpInfo spid="_x0000_s1040"/>
    <customShpInfo spid="_x0000_s103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FF4E04-750B-41FE-BE95-7A0407EC3FE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4369</Words>
  <Characters>4646</Characters>
  <Lines>34</Lines>
  <Paragraphs>9</Paragraphs>
  <TotalTime>83</TotalTime>
  <ScaleCrop>false</ScaleCrop>
  <LinksUpToDate>false</LinksUpToDate>
  <CharactersWithSpaces>4818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2023-03-01T05:30:00Z</dcterms:created>
  <dc:creator>微软用户</dc:creator>
  <cp:lastModifiedBy>L</cp:lastModifiedBy>
  <cp:lastPrinted>2023-04-03T07:44:00Z</cp:lastPrinted>
  <dcterms:modified xsi:type="dcterms:W3CDTF">2026-08-07T02:35:38Z</dcterms:modified>
  <dc:title>洮南市人民政府</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eyJoZGlkIjoiNWNkZjFiZTlhN2YxOTBhYzdmZGY0OGU3MWI1MzY1OWIiLCJ1c2VySWQiOiI0MjU5NDI0NDcifQ==</vt:lpwstr>
  </property>
  <property fmtid="{D5CDD505-2E9C-101B-9397-08002B2CF9AE}" pid="4" name="ICV">
    <vt:lpwstr>E2058927F2134B35941946C9C55C72DC_12</vt:lpwstr>
  </property>
</Properties>
</file>