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3A620">
      <w:pPr>
        <w:spacing w:line="600" w:lineRule="exact"/>
        <w:jc w:val="center"/>
        <w:rPr>
          <w:rFonts w:ascii="方正小标宋_GBK" w:hAnsi="宋体" w:eastAsia="方正小标宋_GBK"/>
          <w:kern w:val="0"/>
          <w:sz w:val="44"/>
          <w:szCs w:val="44"/>
        </w:rPr>
      </w:pPr>
      <w:bookmarkStart w:id="1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吉林洮南经济开发区工业</w:t>
      </w:r>
    </w:p>
    <w:p w14:paraId="5A61C43C">
      <w:pPr>
        <w:spacing w:line="600" w:lineRule="exact"/>
        <w:jc w:val="center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用地“标准地”出让实施方案</w:t>
      </w:r>
      <w:bookmarkEnd w:id="1"/>
    </w:p>
    <w:p w14:paraId="47733C55">
      <w:pPr>
        <w:spacing w:line="600" w:lineRule="exact"/>
        <w:jc w:val="center"/>
        <w:rPr>
          <w:rFonts w:eastAsia="方正仿宋_GBK"/>
          <w:kern w:val="0"/>
          <w:sz w:val="32"/>
          <w:szCs w:val="32"/>
        </w:rPr>
      </w:pPr>
    </w:p>
    <w:p w14:paraId="41F25BF6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按照《吉林省人民政府办公厅关于推进开发区工业用地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改革的指导意见》（吉政办函〔2025〕66号）要求，结合我市实际，制定本方案。</w:t>
      </w:r>
    </w:p>
    <w:p w14:paraId="19494D65"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一、适用范围</w:t>
      </w:r>
    </w:p>
    <w:p w14:paraId="70D0AD27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吉林洮南经济开发区（以下简称开发区）辖区内新增工业用地。</w:t>
      </w:r>
    </w:p>
    <w:p w14:paraId="36259134"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二、工作内容</w:t>
      </w:r>
    </w:p>
    <w:p w14:paraId="1C709B70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建立开发区工业用地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出让相关制度，开展区域评估、构建指标体系和指标值等基础工作，我市开发区内新增工业用地全部实行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出让。</w:t>
      </w:r>
    </w:p>
    <w:p w14:paraId="791C302B"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三、工作任务</w:t>
      </w:r>
    </w:p>
    <w:p w14:paraId="08F1B245">
      <w:pPr>
        <w:spacing w:line="60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（一）开展区域评估</w:t>
      </w:r>
    </w:p>
    <w:p w14:paraId="03ABFB7D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开发区的区域条件和实际工作需要，由吉林洮南经济开发区管理委员会（以下简称开发区管委会）按照环境影响评价、压覆重要矿产资源评估、地质灾害危险性评估、水资源论证、水土保持方案、洪水影响、文物保护评估、地震安全性评价、气候可行性论证、节能评估等事项有关要求，完成区域评估。评估费用由地方财政统筹承担，评估成果及时向社会公开，符合评估条件的项目，无需用地单位单独评估，切实减轻企业成本，提高项目准入前期效率。</w:t>
      </w:r>
    </w:p>
    <w:p w14:paraId="2179ED2F">
      <w:pPr>
        <w:spacing w:line="60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（二）构建控制指标体系</w:t>
      </w:r>
    </w:p>
    <w:p w14:paraId="461A2776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在符合国土空间规划、产业政策和建设用地控制指标要求的前提下，开发区管委会与各相关部门共同构建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3+N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（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3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即固定资产投资强度、亩均税收、容积率，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N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即土地产出率、建筑系数、能耗标准、排放标准、科研投入、就业等其他自选指标）控制指标体系，并实行动态调整。对列为战略性新兴产业、先进制造业的工业项目，可设置科研投入、就业、技术、产品品质等软性控制指标。我市工业项目建设用地指标体系控制范围详见附件1。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3+N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控制指标确定后，作为工业用地准入条件纳入土地出让方案，在土地出让公告中一同发布。</w:t>
      </w:r>
    </w:p>
    <w:p w14:paraId="5035AE3F">
      <w:pPr>
        <w:spacing w:line="60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（三）规范供应方式，明确履约责任</w:t>
      </w:r>
    </w:p>
    <w:p w14:paraId="1F64F550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1.确定指标。严格执行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净地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出让，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供应前须达到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五通一平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（通路、通给水、通排水、通电、通讯及土地平整），鼓励达到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七通一平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。确保土地权属清晰、安置补偿落实到位、规划条件明确、无法律经济纠纷，达到出让前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净地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要求。</w:t>
      </w:r>
    </w:p>
    <w:p w14:paraId="228DDAD5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2.创新供应方式，明确用地履约要求。按照事前定指标、事中作承诺、事后强监管的方式开展工作。一是根据开发区产业类型，建立开发区工业项目建设用地控制性指标体系。二是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出让后，用地单位在签订《国有建设用地使用权出让合同》时，</w:t>
      </w:r>
      <w:r>
        <w:rPr>
          <w:rFonts w:hint="eastAsia" w:eastAsia="方正仿宋_GBK"/>
          <w:sz w:val="32"/>
          <w:szCs w:val="32"/>
        </w:rPr>
        <w:t>要</w:t>
      </w:r>
      <w:r>
        <w:rPr>
          <w:rFonts w:eastAsia="方正仿宋_GBK"/>
          <w:sz w:val="32"/>
          <w:szCs w:val="32"/>
        </w:rPr>
        <w:t>同步与各相关行管部门签订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履约监管协议及《企业投资工业项目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承诺书》（以下简称《承诺书》，详见附件2），在《履约监管协议》中明确控制指标、竣工验收、达产复核、鼓励措施和违约责任等事项</w:t>
      </w:r>
      <w:r>
        <w:rPr>
          <w:rFonts w:hint="eastAsia" w:eastAsia="方正仿宋_GBK"/>
          <w:sz w:val="32"/>
          <w:szCs w:val="32"/>
        </w:rPr>
        <w:t>；</w:t>
      </w:r>
      <w:r>
        <w:rPr>
          <w:rFonts w:eastAsia="方正仿宋_GBK"/>
          <w:sz w:val="32"/>
          <w:szCs w:val="32"/>
        </w:rPr>
        <w:t>可约定对提前达产、地均税收高于约定值的用地单位，按规定给予政策支持；对严重违约的，明确项目用地核减、退出等监管措施。三是项目单位按承诺组织施工后，在约定期限内，由开发区管委会联合相关职能部门按照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谁主管、谁监管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原则，对固定资产投资强度、地均税收、能耗标准和环保标准等指标进行履约监管。对监管过程中发现的问题，相关部门责令用地企业限期整改，限期整改后仍达不到标准的，按照相关法律法规规定和土地出让合同等约定追究违约责任。</w:t>
      </w:r>
    </w:p>
    <w:p w14:paraId="22EB70B4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3.明确工作流程。根据工业项目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控制性指标，拟定国有建设用地使用权出让方案，按规定程序报市政府批准后，通过土地市场动态监测监管系统以及有关媒体发布工业项目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招拍挂出让公告，组织土地招拍挂。同时，结合我市实际，灵活采用长期租赁、先租后让、弹性年期出让等供应方式，减少用地单位一次性拿地成本；在符合相关法定条件下，探索创新方式，鼓励企业竞报地均税收等指标。</w:t>
      </w:r>
    </w:p>
    <w:p w14:paraId="262B16F9">
      <w:pPr>
        <w:spacing w:line="60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（四）落实交地发证同步办理，实行竣工联合验收</w:t>
      </w:r>
    </w:p>
    <w:p w14:paraId="067C201E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各相关部门应加强指导和监督，督促企业落实工程主体质量、安全、进度管理，对违反承诺行为的，及时责令企业整改，确保项目按规定标准和计划建设实施。</w:t>
      </w:r>
    </w:p>
    <w:p w14:paraId="7A1608DC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对于规划设计条件明确的工业项目，开发区管委会可提前组织编制建设工程设计方案、施工图设计方案，纳入土地供应方案，促进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交地即交证、拿地即开工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。建立联合验收机制，项目竣工后，相关部门按照事先约定的条件对标验收，简化验收事项、优化验收流程。对通过联合验收的，出具联合验收合格意见；对未通过联合验收的，要督促并指导限期整改。</w:t>
      </w:r>
    </w:p>
    <w:p w14:paraId="15720279">
      <w:pPr>
        <w:spacing w:line="600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（五）提升审批服务效能</w:t>
      </w:r>
    </w:p>
    <w:p w14:paraId="14D2A905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在政务大厅为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项目提供前期指导与全流程帮办代办服务。统筹各部门审批资源，落实告知承诺制度，符合条件项目可当场或承诺时限内核发审批证照。立足企业办事便利需求，公示容缺受理材料清单，落实容缺受理、一次性告知、并联审批举措，精简审批环节、压缩办理时限，提升审批办事效率。</w:t>
      </w:r>
    </w:p>
    <w:p w14:paraId="095ABD73"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四、部门职责</w:t>
      </w:r>
    </w:p>
    <w:p w14:paraId="09D61E21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市自然资源局：指导开展区域压覆重要矿产资源评估、地质灾害危险性等评估工作，根据产业主管部门设定的标准出具规划条件，组织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出让工作。</w:t>
      </w:r>
    </w:p>
    <w:p w14:paraId="07CCC238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市发改局：负责指导项目立项和节能审查工作。</w:t>
      </w:r>
    </w:p>
    <w:p w14:paraId="001A6C07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市财政局：负责落实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改革相关财政政策，将各项评估所需费用纳入年度预算，保障资金需求。</w:t>
      </w:r>
    </w:p>
    <w:p w14:paraId="34FD14ED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市住建局：负责工程项目施工许可，质量、安全及市场行为的监督工作；项目竣工后负责组织联合验收相关工作。</w:t>
      </w:r>
    </w:p>
    <w:p w14:paraId="2B6B914E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市生态环境局：负责指导开发区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推进环境影响评价工作，提出生态环境准入控制性指标，并履行监督、复核责任。</w:t>
      </w:r>
    </w:p>
    <w:p w14:paraId="2D1F2E18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市税务局：负责落实开发区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改革的税收政策；配合开发区管委会完成地均税收核算及达产复核，监管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主要指标中的地均税收，确保企业依法纳税。</w:t>
      </w:r>
    </w:p>
    <w:p w14:paraId="2240B37B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市工信局：负责指导提出符合产业规划与政策要求的工业用地项目产值指标，做好相关保障、服务工作。负责设定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指标体系中科研投入等相关指标；引导企业落实科研投入相关要求。</w:t>
      </w:r>
    </w:p>
    <w:p w14:paraId="73F1D33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市水利局：</w:t>
      </w:r>
      <w:r>
        <w:rPr>
          <w:rFonts w:hint="eastAsia" w:eastAsia="方正仿宋_GBK"/>
          <w:sz w:val="32"/>
          <w:szCs w:val="32"/>
        </w:rPr>
        <w:t>负责</w:t>
      </w:r>
      <w:r>
        <w:rPr>
          <w:rFonts w:eastAsia="方正仿宋_GBK"/>
          <w:sz w:val="32"/>
          <w:szCs w:val="32"/>
        </w:rPr>
        <w:t>指导开发区管委会开展区域水资源论证、水土保持方案、洪水影响评价等与水资源相关的评估，推动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多评合一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；监督企业在项目建设和运营中落实水资源利用、水土保持等方案要求，防范水患风险。</w:t>
      </w:r>
    </w:p>
    <w:p w14:paraId="3D54F016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市文广旅局：负责指导开发区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开展文物影响评估工作。</w:t>
      </w:r>
    </w:p>
    <w:p w14:paraId="0616D31E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市市监局：负责配合行业主管部门对相关严重违法失信企业实施惩戒。</w:t>
      </w:r>
    </w:p>
    <w:p w14:paraId="65D6B5D9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市应急局：</w:t>
      </w:r>
      <w:r>
        <w:rPr>
          <w:rFonts w:hint="eastAsia" w:eastAsia="方正仿宋_GBK"/>
          <w:sz w:val="32"/>
          <w:szCs w:val="32"/>
        </w:rPr>
        <w:t>负责</w:t>
      </w:r>
      <w:r>
        <w:rPr>
          <w:rFonts w:eastAsia="方正仿宋_GBK"/>
          <w:sz w:val="32"/>
          <w:szCs w:val="32"/>
        </w:rPr>
        <w:t>指导开发区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开展地震安全性评价，</w:t>
      </w:r>
      <w:r>
        <w:rPr>
          <w:rFonts w:hint="eastAsia" w:eastAsia="方正仿宋_GBK"/>
          <w:sz w:val="32"/>
          <w:szCs w:val="32"/>
        </w:rPr>
        <w:t>及</w:t>
      </w:r>
      <w:r>
        <w:rPr>
          <w:rFonts w:eastAsia="方正仿宋_GBK"/>
          <w:sz w:val="32"/>
          <w:szCs w:val="32"/>
        </w:rPr>
        <w:t>项目建设全过程安全生产监管。</w:t>
      </w:r>
    </w:p>
    <w:p w14:paraId="71CCF665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市政数局：</w:t>
      </w:r>
      <w:r>
        <w:rPr>
          <w:rFonts w:hint="eastAsia" w:eastAsia="方正仿宋_GBK"/>
          <w:sz w:val="32"/>
          <w:szCs w:val="32"/>
        </w:rPr>
        <w:t>负责</w:t>
      </w:r>
      <w:r>
        <w:rPr>
          <w:rFonts w:eastAsia="方正仿宋_GBK"/>
          <w:sz w:val="32"/>
          <w:szCs w:val="32"/>
        </w:rPr>
        <w:t>配合优化审批流程、整合审批资源，推动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帮代办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全流程服务窗口建设；配合开发区管委会将企业信用信息纳入公共信用平台。</w:t>
      </w:r>
    </w:p>
    <w:p w14:paraId="53F56CB5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市气象局：</w:t>
      </w:r>
      <w:r>
        <w:rPr>
          <w:rFonts w:hint="eastAsia" w:eastAsia="方正仿宋_GBK"/>
          <w:sz w:val="32"/>
          <w:szCs w:val="32"/>
        </w:rPr>
        <w:t>负责</w:t>
      </w:r>
      <w:r>
        <w:rPr>
          <w:rFonts w:eastAsia="方正仿宋_GBK"/>
          <w:sz w:val="32"/>
          <w:szCs w:val="32"/>
        </w:rPr>
        <w:t>指导开发区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气候可行性论证评估工作。</w:t>
      </w:r>
    </w:p>
    <w:p w14:paraId="0BA1229C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市商务局</w:t>
      </w:r>
      <w:r>
        <w:rPr>
          <w:rFonts w:hint="eastAsia" w:eastAsia="方正仿宋_GBK"/>
          <w:sz w:val="32"/>
          <w:szCs w:val="32"/>
        </w:rPr>
        <w:t>：负责</w:t>
      </w:r>
      <w:r>
        <w:rPr>
          <w:rFonts w:eastAsia="方正仿宋_GBK"/>
          <w:sz w:val="32"/>
          <w:szCs w:val="32"/>
        </w:rPr>
        <w:t>配合各行管部门做好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各项工作。</w:t>
      </w:r>
    </w:p>
    <w:p w14:paraId="7550519B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：负责完成工业土地各项评估评价工作，联合相关部门制定开发区工业项目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指标；与土地竞得企业签订协议，项目建设中，发现问题及时告知涉事部门，履行日常监管责任。</w:t>
      </w:r>
    </w:p>
    <w:p w14:paraId="164F5BCD">
      <w:pPr>
        <w:spacing w:line="600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五、工作要求</w:t>
      </w:r>
    </w:p>
    <w:p w14:paraId="53257CEC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（一）成立由</w:t>
      </w:r>
      <w:r>
        <w:rPr>
          <w:rFonts w:hint="eastAsia" w:eastAsia="方正仿宋_GBK"/>
          <w:sz w:val="32"/>
          <w:szCs w:val="32"/>
        </w:rPr>
        <w:t>分管市</w:t>
      </w:r>
      <w:r>
        <w:rPr>
          <w:rFonts w:eastAsia="方正仿宋_GBK"/>
          <w:sz w:val="32"/>
          <w:szCs w:val="32"/>
        </w:rPr>
        <w:t>自然资源</w:t>
      </w:r>
      <w:r>
        <w:rPr>
          <w:rFonts w:hint="eastAsia" w:eastAsia="方正仿宋_GBK"/>
          <w:sz w:val="32"/>
          <w:szCs w:val="32"/>
        </w:rPr>
        <w:t>局、</w:t>
      </w:r>
      <w:r>
        <w:rPr>
          <w:rFonts w:eastAsia="方正仿宋_GBK"/>
          <w:sz w:val="32"/>
          <w:szCs w:val="32"/>
        </w:rPr>
        <w:t>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的副市长任组长，市自然资源局、市发改局、市财政局、市住建局、市</w:t>
      </w:r>
      <w:r>
        <w:rPr>
          <w:rFonts w:hint="eastAsia" w:eastAsia="方正仿宋_GBK"/>
          <w:sz w:val="32"/>
          <w:szCs w:val="32"/>
        </w:rPr>
        <w:t>生态</w:t>
      </w:r>
      <w:r>
        <w:rPr>
          <w:rFonts w:eastAsia="方正仿宋_GBK"/>
          <w:sz w:val="32"/>
          <w:szCs w:val="32"/>
        </w:rPr>
        <w:t>环境局、市税务局、市工信局、市水利局、市文旅局、市市监局、市应急局、市政数局、市气象局、市商务局、开发区</w:t>
      </w:r>
      <w:r>
        <w:rPr>
          <w:rFonts w:hint="eastAsia" w:eastAsia="方正仿宋_GBK"/>
          <w:sz w:val="32"/>
          <w:szCs w:val="32"/>
        </w:rPr>
        <w:t>管委会</w:t>
      </w:r>
      <w:r>
        <w:rPr>
          <w:rFonts w:eastAsia="方正仿宋_GBK"/>
          <w:sz w:val="32"/>
          <w:szCs w:val="32"/>
        </w:rPr>
        <w:t>为成员单位的工作专班，市自然资源局负责牵头统筹推进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出让工作有序开展。</w:t>
      </w:r>
    </w:p>
    <w:p w14:paraId="2A63C35F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（二）实行全流程协同监管，开展联合验收与达产复核，对履约达标、效益突出的企业给予政策奖励；对未达标企业限期整改。健全信用联动机制，各部门对企业履约失信情况报送</w:t>
      </w:r>
      <w:r>
        <w:rPr>
          <w:rFonts w:hint="eastAsia" w:eastAsia="方正仿宋_GBK"/>
          <w:sz w:val="32"/>
          <w:szCs w:val="32"/>
        </w:rPr>
        <w:t>市</w:t>
      </w:r>
      <w:r>
        <w:rPr>
          <w:rFonts w:eastAsia="方正仿宋_GBK"/>
          <w:sz w:val="32"/>
          <w:szCs w:val="32"/>
        </w:rPr>
        <w:t>市监部门，实施联合奖惩，形成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守信受益、失信受限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的闭环管理，确保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改革落地见效。</w:t>
      </w:r>
    </w:p>
    <w:p w14:paraId="1F31FB19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（三）大力宣传工业用地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出让改革的重要意义、政策措施和工作成效，提高政策知晓度和企业参与积极性，营造良好的改革氛围。加强对企业的政策解读和业务指导，引导企业积极参与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标准地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出让，提高土地利用效率。</w:t>
      </w:r>
    </w:p>
    <w:p w14:paraId="47DCADEA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本实施方案自发布之日起施行。</w:t>
      </w:r>
    </w:p>
    <w:p w14:paraId="37289883">
      <w:pPr>
        <w:spacing w:line="600" w:lineRule="exact"/>
        <w:rPr>
          <w:rFonts w:eastAsia="方正仿宋_GBK"/>
          <w:sz w:val="32"/>
          <w:szCs w:val="32"/>
        </w:rPr>
      </w:pPr>
    </w:p>
    <w:p w14:paraId="6C0B641E">
      <w:pPr>
        <w:spacing w:line="600" w:lineRule="exact"/>
        <w:ind w:firstLine="640" w:firstLineChars="200"/>
        <w:rPr>
          <w:rFonts w:eastAsia="方正仿宋_GBK"/>
          <w:b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附件：</w:t>
      </w:r>
      <w:r>
        <w:rPr>
          <w:rFonts w:eastAsia="方正仿宋_GBK"/>
          <w:sz w:val="32"/>
          <w:szCs w:val="32"/>
        </w:rPr>
        <w:t>1.</w:t>
      </w:r>
      <w:r>
        <w:rPr>
          <w:rStyle w:val="10"/>
          <w:rFonts w:eastAsia="方正仿宋_GBK"/>
          <w:b w:val="0"/>
          <w:color w:val="000000"/>
          <w:kern w:val="0"/>
          <w:sz w:val="32"/>
          <w:szCs w:val="32"/>
          <w:shd w:val="clear" w:color="auto" w:fill="FFFFFF"/>
        </w:rPr>
        <w:t>工业项目建设用地指标体系</w:t>
      </w:r>
    </w:p>
    <w:p w14:paraId="206E6084">
      <w:pPr>
        <w:spacing w:line="600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          2.</w:t>
      </w:r>
      <w:r>
        <w:rPr>
          <w:rStyle w:val="10"/>
          <w:rFonts w:hint="eastAsia" w:ascii="方正仿宋_GBK" w:eastAsia="方正仿宋_GBK"/>
          <w:b w:val="0"/>
          <w:color w:val="000000"/>
          <w:sz w:val="32"/>
          <w:szCs w:val="32"/>
          <w:shd w:val="clear" w:color="auto" w:fill="FFFFFF"/>
        </w:rPr>
        <w:t>企业投资工业项目“标准地”承诺书</w:t>
      </w:r>
    </w:p>
    <w:p w14:paraId="407D3D73">
      <w:pPr>
        <w:spacing w:line="600" w:lineRule="exact"/>
        <w:ind w:firstLine="4534" w:firstLineChars="1417"/>
        <w:rPr>
          <w:rFonts w:eastAsia="方正仿宋_GBK"/>
          <w:sz w:val="32"/>
          <w:szCs w:val="32"/>
        </w:rPr>
      </w:pPr>
    </w:p>
    <w:p w14:paraId="42C67B53">
      <w:pPr>
        <w:spacing w:line="600" w:lineRule="exact"/>
        <w:ind w:firstLine="4534" w:firstLineChars="1417"/>
        <w:rPr>
          <w:rFonts w:eastAsia="方正仿宋_GBK"/>
          <w:sz w:val="32"/>
          <w:szCs w:val="32"/>
        </w:rPr>
      </w:pPr>
    </w:p>
    <w:p w14:paraId="00A834C2">
      <w:pPr>
        <w:spacing w:line="600" w:lineRule="exact"/>
        <w:ind w:firstLine="4534" w:firstLineChars="1417"/>
        <w:rPr>
          <w:rFonts w:eastAsia="方正仿宋_GBK"/>
          <w:sz w:val="32"/>
          <w:szCs w:val="32"/>
        </w:rPr>
      </w:pPr>
    </w:p>
    <w:p w14:paraId="654D8A50">
      <w:pPr>
        <w:spacing w:line="600" w:lineRule="exact"/>
        <w:rPr>
          <w:rFonts w:eastAsia="方正仿宋_GBK"/>
          <w:sz w:val="32"/>
          <w:szCs w:val="32"/>
        </w:rPr>
      </w:pPr>
    </w:p>
    <w:p w14:paraId="39177CFD">
      <w:pPr>
        <w:spacing w:line="600" w:lineRule="exact"/>
        <w:rPr>
          <w:rFonts w:eastAsia="方正仿宋_GBK"/>
          <w:sz w:val="32"/>
          <w:szCs w:val="32"/>
        </w:rPr>
      </w:pPr>
    </w:p>
    <w:p w14:paraId="3AE6FD91">
      <w:pPr>
        <w:spacing w:line="600" w:lineRule="exact"/>
        <w:rPr>
          <w:rFonts w:eastAsia="方正仿宋_GBK"/>
          <w:sz w:val="32"/>
          <w:szCs w:val="32"/>
        </w:rPr>
      </w:pPr>
    </w:p>
    <w:p w14:paraId="7E9A00BD">
      <w:pPr>
        <w:spacing w:line="600" w:lineRule="exact"/>
        <w:rPr>
          <w:rFonts w:eastAsia="方正仿宋_GBK"/>
          <w:sz w:val="32"/>
          <w:szCs w:val="32"/>
        </w:rPr>
      </w:pPr>
    </w:p>
    <w:p w14:paraId="3B57D484">
      <w:pPr>
        <w:spacing w:line="600" w:lineRule="exact"/>
        <w:rPr>
          <w:rFonts w:eastAsia="方正仿宋_GBK"/>
          <w:sz w:val="32"/>
          <w:szCs w:val="32"/>
        </w:rPr>
      </w:pPr>
    </w:p>
    <w:p w14:paraId="30174E28">
      <w:pPr>
        <w:spacing w:line="560" w:lineRule="exact"/>
        <w:rPr>
          <w:rFonts w:eastAsia="方正仿宋_GBK"/>
          <w:sz w:val="32"/>
          <w:szCs w:val="32"/>
        </w:rPr>
      </w:pPr>
    </w:p>
    <w:p w14:paraId="430B6A7A">
      <w:pPr>
        <w:spacing w:line="560" w:lineRule="exact"/>
        <w:rPr>
          <w:rFonts w:eastAsia="方正仿宋_GBK"/>
          <w:sz w:val="32"/>
          <w:szCs w:val="32"/>
        </w:rPr>
      </w:pPr>
    </w:p>
    <w:p w14:paraId="110EB5F9">
      <w:pPr>
        <w:spacing w:line="660" w:lineRule="exact"/>
        <w:rPr>
          <w:rFonts w:hint="eastAsia" w:eastAsia="方正仿宋_GBK"/>
          <w:sz w:val="32"/>
          <w:szCs w:val="32"/>
        </w:rPr>
      </w:pPr>
    </w:p>
    <w:p w14:paraId="70E9B060">
      <w:pPr>
        <w:spacing w:line="640" w:lineRule="exact"/>
        <w:rPr>
          <w:rFonts w:eastAsia="方正仿宋_GBK"/>
          <w:sz w:val="32"/>
          <w:szCs w:val="32"/>
        </w:rPr>
      </w:pPr>
    </w:p>
    <w:p w14:paraId="73034FE8">
      <w:pPr>
        <w:spacing w:line="600" w:lineRule="exact"/>
        <w:ind w:firstLine="150" w:firstLineChars="50"/>
        <w:rPr>
          <w:rStyle w:val="10"/>
          <w:rFonts w:eastAsia="方正仿宋_GBK"/>
          <w:b w:val="0"/>
          <w:bCs w:val="0"/>
          <w:sz w:val="30"/>
          <w:szCs w:val="30"/>
        </w:rPr>
      </w:pPr>
      <w:r>
        <w:rPr>
          <w:rFonts w:eastAsia="方正仿宋_GBK"/>
          <w:sz w:val="30"/>
          <w:szCs w:val="30"/>
        </w:rPr>
        <w:pict>
          <v:line id="_x0000_s1030" o:spid="_x0000_s1030" o:spt="20" style="position:absolute;left:0pt;margin-left:9pt;margin-top:-0.2pt;height:0pt;width:416.05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eastAsia="方正仿宋_GBK"/>
          <w:sz w:val="30"/>
          <w:szCs w:val="30"/>
        </w:rPr>
        <w:pict>
          <v:line id="_x0000_s1031" o:spid="_x0000_s1031" o:spt="20" style="position:absolute;left:0pt;margin-left:9pt;margin-top:31pt;height:0pt;width:416.05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eastAsia="方正仿宋_GBK"/>
          <w:sz w:val="30"/>
          <w:szCs w:val="30"/>
        </w:rPr>
        <w:t>洮南市人民政府办公室                202</w:t>
      </w:r>
      <w:r>
        <w:rPr>
          <w:rFonts w:hint="eastAsia" w:eastAsia="方正仿宋_GBK"/>
          <w:sz w:val="30"/>
          <w:szCs w:val="30"/>
        </w:rPr>
        <w:t>6</w:t>
      </w:r>
      <w:r>
        <w:rPr>
          <w:rFonts w:eastAsia="方正仿宋_GBK"/>
          <w:sz w:val="30"/>
          <w:szCs w:val="30"/>
        </w:rPr>
        <w:t>年6月</w:t>
      </w:r>
      <w:r>
        <w:rPr>
          <w:rFonts w:hint="eastAsia" w:eastAsia="方正仿宋_GBK"/>
          <w:sz w:val="30"/>
          <w:szCs w:val="30"/>
        </w:rPr>
        <w:t>29</w:t>
      </w:r>
      <w:r>
        <w:rPr>
          <w:rFonts w:eastAsia="方正仿宋_GBK"/>
          <w:sz w:val="30"/>
          <w:szCs w:val="30"/>
        </w:rPr>
        <w:t>日印发</w:t>
      </w:r>
    </w:p>
    <w:p w14:paraId="6F3690BF">
      <w:pPr>
        <w:widowControl/>
        <w:spacing w:before="100" w:beforeAutospacing="1" w:after="100" w:afterAutospacing="1" w:line="380" w:lineRule="exact"/>
        <w:jc w:val="left"/>
        <w:rPr>
          <w:rStyle w:val="10"/>
          <w:rFonts w:eastAsia="方正黑体_GBK"/>
          <w:b w:val="0"/>
          <w:color w:val="000000"/>
          <w:kern w:val="0"/>
          <w:sz w:val="32"/>
          <w:szCs w:val="32"/>
          <w:shd w:val="clear" w:color="auto" w:fill="FFFFFF"/>
        </w:rPr>
      </w:pPr>
      <w:r>
        <w:rPr>
          <w:rStyle w:val="10"/>
          <w:rFonts w:hint="eastAsia" w:ascii="方正黑体_GBK" w:hAnsi="宋体" w:eastAsia="方正黑体_GBK" w:cs="宋体"/>
          <w:b w:val="0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Style w:val="10"/>
          <w:rFonts w:eastAsia="方正黑体_GBK"/>
          <w:b w:val="0"/>
          <w:color w:val="000000"/>
          <w:kern w:val="0"/>
          <w:sz w:val="32"/>
          <w:szCs w:val="32"/>
          <w:shd w:val="clear" w:color="auto" w:fill="FFFFFF"/>
        </w:rPr>
        <w:t>1</w:t>
      </w:r>
    </w:p>
    <w:p w14:paraId="6D837BC3">
      <w:pPr>
        <w:widowControl/>
        <w:spacing w:before="100" w:beforeAutospacing="1" w:after="100" w:afterAutospacing="1" w:line="200" w:lineRule="exact"/>
        <w:jc w:val="center"/>
        <w:rPr>
          <w:rStyle w:val="10"/>
          <w:rFonts w:eastAsia="方正黑体_GBK"/>
          <w:b w:val="0"/>
          <w:color w:val="000000"/>
          <w:kern w:val="0"/>
          <w:sz w:val="32"/>
          <w:szCs w:val="32"/>
          <w:shd w:val="clear" w:color="auto" w:fill="FFFFFF"/>
        </w:rPr>
      </w:pPr>
    </w:p>
    <w:p w14:paraId="6AB2A2CC">
      <w:pPr>
        <w:widowControl/>
        <w:spacing w:before="100" w:beforeAutospacing="1" w:after="100" w:afterAutospacing="1" w:line="578" w:lineRule="exact"/>
        <w:jc w:val="center"/>
        <w:rPr>
          <w:rStyle w:val="10"/>
          <w:rFonts w:ascii="方正小标宋_GBK" w:hAnsi="宋体" w:eastAsia="方正小标宋_GBK" w:cs="宋体"/>
          <w:b w:val="0"/>
          <w:color w:val="000000"/>
          <w:kern w:val="0"/>
          <w:sz w:val="44"/>
          <w:szCs w:val="44"/>
          <w:shd w:val="clear" w:color="auto" w:fill="FFFFFF"/>
        </w:rPr>
      </w:pPr>
      <w:r>
        <w:rPr>
          <w:rStyle w:val="10"/>
          <w:rFonts w:hint="eastAsia" w:ascii="方正小标宋_GBK" w:hAnsi="宋体" w:eastAsia="方正小标宋_GBK" w:cs="宋体"/>
          <w:b w:val="0"/>
          <w:color w:val="000000"/>
          <w:kern w:val="0"/>
          <w:sz w:val="44"/>
          <w:szCs w:val="44"/>
          <w:shd w:val="clear" w:color="auto" w:fill="FFFFFF"/>
        </w:rPr>
        <w:t>工业项目建设用地指标体系</w:t>
      </w:r>
    </w:p>
    <w:tbl>
      <w:tblPr>
        <w:tblStyle w:val="7"/>
        <w:tblW w:w="9061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8"/>
        <w:gridCol w:w="3610"/>
        <w:gridCol w:w="939"/>
        <w:gridCol w:w="1907"/>
        <w:gridCol w:w="1907"/>
      </w:tblGrid>
      <w:tr w14:paraId="1B4872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411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代码</w:t>
            </w:r>
          </w:p>
        </w:tc>
        <w:tc>
          <w:tcPr>
            <w:tcW w:w="36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25C0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行业名称</w:t>
            </w:r>
          </w:p>
        </w:tc>
        <w:tc>
          <w:tcPr>
            <w:tcW w:w="9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40E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容积率</w:t>
            </w:r>
          </w:p>
        </w:tc>
        <w:tc>
          <w:tcPr>
            <w:tcW w:w="19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918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投资强度（万元/公顷）</w:t>
            </w:r>
          </w:p>
        </w:tc>
        <w:tc>
          <w:tcPr>
            <w:tcW w:w="19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923A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ascii="方正黑体_GBK" w:eastAsia="方正黑体_GBK"/>
              </w:rPr>
            </w:pPr>
            <w:r>
              <w:rPr>
                <w:rFonts w:hint="eastAsia" w:ascii="方正黑体_GBK" w:eastAsia="方正黑体_GBK"/>
                <w:kern w:val="0"/>
                <w:sz w:val="24"/>
              </w:rPr>
              <w:t>地均税收（万元/公顷）</w:t>
            </w:r>
          </w:p>
        </w:tc>
      </w:tr>
      <w:tr w14:paraId="55012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3EE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13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8F3E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农副食品加工业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9F8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6A01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8345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≥30</w:t>
            </w:r>
          </w:p>
        </w:tc>
      </w:tr>
      <w:tr w14:paraId="6CF731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5701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14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445B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食品制造业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BF1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2A8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104E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≥50</w:t>
            </w:r>
          </w:p>
        </w:tc>
      </w:tr>
      <w:tr w14:paraId="6B5B5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55E9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15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5723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酒、饮料和精制茶制造业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2C89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4AB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1595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≥150</w:t>
            </w:r>
          </w:p>
        </w:tc>
      </w:tr>
      <w:tr w14:paraId="3AA685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8034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16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276E9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烟草制品业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C33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B279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≥2100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9957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≥3500</w:t>
            </w:r>
          </w:p>
        </w:tc>
      </w:tr>
      <w:tr w14:paraId="05BE1F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EF7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17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D3F7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纺织业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112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≥0.9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DFA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≥1750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C5191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≥45</w:t>
            </w:r>
          </w:p>
        </w:tc>
      </w:tr>
      <w:tr w14:paraId="52A15B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0AAD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18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1B11C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纺织服装、服饰业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D055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≥1.1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9B8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≥1750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0D8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≥100</w:t>
            </w:r>
          </w:p>
        </w:tc>
      </w:tr>
      <w:tr w14:paraId="24DBB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072D1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19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B8BFC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皮革、毛皮、羽毛及其制品和制鞋业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60D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≥1.1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5BD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F07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≥54</w:t>
            </w:r>
          </w:p>
        </w:tc>
      </w:tr>
      <w:tr w14:paraId="3C87F1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CC8C1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20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7CAFB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木材加工和木、竹、藤、棕、草制品业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B88E9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≥0.9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E7D7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≥860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98E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≥24</w:t>
            </w:r>
          </w:p>
        </w:tc>
      </w:tr>
      <w:tr w14:paraId="404428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5AB6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21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B6038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家具制造业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1CA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≥0.9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1CA4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92C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≥24</w:t>
            </w:r>
          </w:p>
        </w:tc>
      </w:tr>
      <w:tr w14:paraId="507B5E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FE8D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22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C1C66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造纸和纸制品业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F925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9D21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B9A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≥90</w:t>
            </w:r>
          </w:p>
        </w:tc>
      </w:tr>
      <w:tr w14:paraId="03F754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BEB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23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884F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印刷和记录媒介复制业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9D775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≥0.9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14A05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≥2100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255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≥75</w:t>
            </w:r>
          </w:p>
        </w:tc>
      </w:tr>
      <w:tr w14:paraId="28D60F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09E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24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8913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文教、工美、体育和娱乐用品制造业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E1B5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≥1.1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137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≥1750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0B4F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≥39</w:t>
            </w:r>
          </w:p>
        </w:tc>
      </w:tr>
      <w:tr w14:paraId="44DFED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3B97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25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48A93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石油、煤炭及其他燃料加工业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82CA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≥0.5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9B3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≥2100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AD7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≥275</w:t>
            </w:r>
          </w:p>
        </w:tc>
      </w:tr>
      <w:tr w14:paraId="2D1F80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979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26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73138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化学原料和化学制品制造业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79E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≥0.6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7509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≥2100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55C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≥75</w:t>
            </w:r>
          </w:p>
        </w:tc>
      </w:tr>
      <w:tr w14:paraId="0B510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7748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27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C382A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医药制造业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87E6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65EE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≥2870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95D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≥240</w:t>
            </w:r>
          </w:p>
        </w:tc>
      </w:tr>
      <w:tr w14:paraId="77CEC8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7ED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28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B1EE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化学纤维制造业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41C5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1C21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≥2950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3E30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≥110</w:t>
            </w:r>
          </w:p>
        </w:tc>
      </w:tr>
      <w:tr w14:paraId="72E2F2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3AE8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29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EA781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橡胶和塑料制品业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C10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≥0.9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61B8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≥1750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C41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≥50</w:t>
            </w:r>
          </w:p>
        </w:tc>
      </w:tr>
      <w:tr w14:paraId="3D0980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17A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pict>
                <v:shape id="_x0000_s1034" o:spid="_x0000_s1034" o:spt="32" type="#_x0000_t32" style="position:absolute;left:0pt;margin-left:5.25pt;margin-top:-28.95pt;height:0.5pt;width:0pt;z-index:251663360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eastAsia="方正仿宋_GBK"/>
                <w:kern w:val="0"/>
                <w:sz w:val="24"/>
              </w:rPr>
              <w:pict>
                <v:shape id="_x0000_s1035" o:spid="_x0000_s1035" o:spt="32" type="#_x0000_t32" style="position:absolute;left:0pt;margin-left:-4.8pt;margin-top:-19.95pt;height:0pt;width:0pt;z-index:251664384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eastAsia="方正仿宋_GBK"/>
                <w:kern w:val="0"/>
                <w:sz w:val="24"/>
              </w:rPr>
              <w:pict>
                <v:shape id="_x0000_s1033" o:spid="_x0000_s1033" o:spt="32" type="#_x0000_t32" style="position:absolute;left:0pt;margin-left:-5.4pt;margin-top:-0.2pt;height:0pt;width:453pt;z-index:251662336;mso-width-relative:page;mso-height-relative:page;" o:connectortype="straight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eastAsia="方正仿宋_GBK"/>
                <w:kern w:val="0"/>
                <w:sz w:val="24"/>
              </w:rPr>
              <w:t>30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6F6B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非金属矿物制品业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A0C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0F9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≥860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0DF01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≥45</w:t>
            </w:r>
          </w:p>
        </w:tc>
      </w:tr>
      <w:tr w14:paraId="25BF53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23A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31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7AE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黑色金属冶炼和压延加工业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A8B7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≥0.6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927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≥2870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F96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≥60</w:t>
            </w:r>
          </w:p>
        </w:tc>
      </w:tr>
      <w:tr w14:paraId="4AF029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189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32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7E88D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有色金属冶炼和压延加工业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B06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≥0.6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898A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≥2870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88D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≥100</w:t>
            </w:r>
          </w:p>
        </w:tc>
      </w:tr>
      <w:tr w14:paraId="1EDE44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859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33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4C3E2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金属制品业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FFD2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DA3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≥2100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9A9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≥45</w:t>
            </w:r>
          </w:p>
        </w:tc>
      </w:tr>
      <w:tr w14:paraId="0963B3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6204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34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F8386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通用设备制造业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7F5A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C0D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≥2870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76B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≥60</w:t>
            </w:r>
          </w:p>
        </w:tc>
      </w:tr>
      <w:tr w14:paraId="233E41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3E7D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35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7B9C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专用设备制造业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DB8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EDF7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≥2870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7F9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≥60</w:t>
            </w:r>
          </w:p>
        </w:tc>
      </w:tr>
      <w:tr w14:paraId="4FA24A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60C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36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AED8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汽车制造业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420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AFF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≥2950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8950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≥180</w:t>
            </w:r>
          </w:p>
        </w:tc>
      </w:tr>
      <w:tr w14:paraId="4D986A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C125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37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C3FB3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铁路、船舶、航空航天和其他运输设备制造业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C0DAA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047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≥2950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481DE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≥45</w:t>
            </w:r>
          </w:p>
        </w:tc>
      </w:tr>
      <w:tr w14:paraId="426F7C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9A1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38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094E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电气机械和器材制造业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A46D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E4C7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≥2950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99C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≥95</w:t>
            </w:r>
          </w:p>
        </w:tc>
      </w:tr>
      <w:tr w14:paraId="6F3E19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B71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39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8EC6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计算机、通信和其他电子设备制造业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6AEF4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≥1.1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F03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≥3540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545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≥155</w:t>
            </w:r>
          </w:p>
        </w:tc>
      </w:tr>
      <w:tr w14:paraId="280DC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8E8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40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A3C1D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仪器仪表制造业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B8A9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≥1.1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DE662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≥2870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CDD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≥70</w:t>
            </w:r>
          </w:p>
        </w:tc>
      </w:tr>
      <w:tr w14:paraId="2A232B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2CE0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41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BA6C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其他制造业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0DD2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77499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75908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≥65</w:t>
            </w:r>
          </w:p>
        </w:tc>
      </w:tr>
      <w:tr w14:paraId="78E604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B6A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42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9183E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废弃资源综合利用业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41786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E287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8FD9C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≥50</w:t>
            </w:r>
          </w:p>
        </w:tc>
      </w:tr>
      <w:tr w14:paraId="629D35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A8F0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43</w:t>
            </w:r>
          </w:p>
        </w:tc>
        <w:tc>
          <w:tcPr>
            <w:tcW w:w="36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60EF">
            <w:pPr>
              <w:widowControl/>
              <w:spacing w:before="100" w:beforeAutospacing="1" w:after="100" w:afterAutospacing="1" w:line="460" w:lineRule="exact"/>
              <w:jc w:val="left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金属制品、机械和设备修理业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68B3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≥0.8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9684F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≥1200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B248B">
            <w:pPr>
              <w:widowControl/>
              <w:spacing w:before="100" w:beforeAutospacing="1" w:after="100" w:afterAutospacing="1" w:line="460" w:lineRule="exact"/>
              <w:jc w:val="center"/>
              <w:textAlignment w:val="center"/>
              <w:rPr>
                <w:rFonts w:eastAsia="方正仿宋_GBK"/>
              </w:rPr>
            </w:pPr>
            <w:r>
              <w:rPr>
                <w:rFonts w:eastAsia="方正仿宋_GBK"/>
                <w:kern w:val="0"/>
                <w:sz w:val="24"/>
              </w:rPr>
              <w:t>≥45</w:t>
            </w:r>
          </w:p>
        </w:tc>
      </w:tr>
    </w:tbl>
    <w:p w14:paraId="16D86566">
      <w:pPr>
        <w:pStyle w:val="6"/>
        <w:spacing w:line="578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注：1.本表中各行业对应的相关指标为最低准入值，根据我市产业优势、区位条件、开发区级别等因素，适当提高相关行业的准入标准。2.战略性新兴产业、先进制造业项目，固定资产投资强度按照对应的行业整体上浮至少5%。战略性新兴产业、先进制造业与《国民经济分类》对照表见《自然资源部关于发布&lt;工业项目建设用地控制指标&gt;的通知》（自然资发〔2023〕72号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）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。</w:t>
      </w:r>
    </w:p>
    <w:p w14:paraId="4776A60E">
      <w:pPr>
        <w:pStyle w:val="6"/>
        <w:shd w:val="clear" w:color="auto" w:fill="FFFFFF"/>
        <w:spacing w:before="210" w:beforeAutospacing="0" w:after="210" w:afterAutospacing="0" w:line="450" w:lineRule="atLeast"/>
        <w:jc w:val="both"/>
        <w:rPr>
          <w:rStyle w:val="10"/>
          <w:sz w:val="32"/>
          <w:szCs w:val="32"/>
        </w:rPr>
      </w:pPr>
    </w:p>
    <w:p w14:paraId="73215ECB">
      <w:pPr>
        <w:pStyle w:val="6"/>
        <w:shd w:val="clear" w:color="auto" w:fill="FFFFFF"/>
        <w:spacing w:before="210" w:beforeAutospacing="0" w:after="210" w:afterAutospacing="0" w:line="400" w:lineRule="exact"/>
        <w:jc w:val="both"/>
        <w:rPr>
          <w:rStyle w:val="10"/>
          <w:rFonts w:ascii="Times New Roman" w:hAnsi="Times New Roman" w:eastAsia="方正黑体_GBK" w:cs="Times New Roman"/>
          <w:b w:val="0"/>
          <w:sz w:val="32"/>
          <w:szCs w:val="32"/>
        </w:rPr>
      </w:pPr>
      <w:bookmarkStart w:id="0" w:name="OLE_LINK20"/>
      <w:r>
        <w:rPr>
          <w:rStyle w:val="10"/>
          <w:rFonts w:ascii="Times New Roman" w:hAnsi="Times New Roman" w:eastAsia="方正黑体_GBK" w:cs="Times New Roman"/>
          <w:b w:val="0"/>
          <w:sz w:val="32"/>
          <w:szCs w:val="32"/>
        </w:rPr>
        <w:t>附件2</w:t>
      </w:r>
    </w:p>
    <w:p w14:paraId="006DDA66">
      <w:pPr>
        <w:pStyle w:val="6"/>
        <w:shd w:val="clear" w:color="auto" w:fill="FFFFFF"/>
        <w:spacing w:before="210" w:beforeAutospacing="0" w:after="210" w:afterAutospacing="0" w:line="400" w:lineRule="exact"/>
        <w:jc w:val="both"/>
        <w:rPr>
          <w:rStyle w:val="10"/>
          <w:rFonts w:ascii="Times New Roman" w:hAnsi="Times New Roman" w:eastAsia="方正黑体_GBK" w:cs="Times New Roman"/>
          <w:b w:val="0"/>
          <w:sz w:val="32"/>
          <w:szCs w:val="32"/>
          <w:shd w:val="clear" w:color="auto" w:fill="FFFFFF"/>
        </w:rPr>
      </w:pPr>
    </w:p>
    <w:bookmarkEnd w:id="0"/>
    <w:p w14:paraId="0433C47D">
      <w:pPr>
        <w:pStyle w:val="6"/>
        <w:shd w:val="clear" w:color="auto" w:fill="FFFFFF"/>
        <w:spacing w:before="210" w:beforeAutospacing="0" w:after="210" w:afterAutospacing="0" w:line="578" w:lineRule="exact"/>
        <w:jc w:val="center"/>
        <w:rPr>
          <w:rFonts w:ascii="方正小标宋_GBK" w:eastAsia="方正小标宋_GBK"/>
          <w:b/>
          <w:color w:val="000000"/>
          <w:sz w:val="44"/>
          <w:szCs w:val="44"/>
        </w:rPr>
      </w:pPr>
      <w:r>
        <w:rPr>
          <w:rStyle w:val="10"/>
          <w:rFonts w:hint="eastAsia" w:ascii="方正小标宋_GBK" w:eastAsia="方正小标宋_GBK"/>
          <w:b w:val="0"/>
          <w:color w:val="000000"/>
          <w:sz w:val="44"/>
          <w:szCs w:val="44"/>
          <w:shd w:val="clear" w:color="auto" w:fill="FFFFFF"/>
        </w:rPr>
        <w:t>企业投资工业项目“标准地”承诺书</w:t>
      </w:r>
    </w:p>
    <w:p w14:paraId="08A541C4">
      <w:pPr>
        <w:pStyle w:val="6"/>
        <w:shd w:val="clear" w:color="auto" w:fill="FFFFFF"/>
        <w:spacing w:before="210" w:beforeAutospacing="0" w:after="210" w:afterAutospacing="0" w:line="520" w:lineRule="exact"/>
        <w:jc w:val="center"/>
        <w:rPr>
          <w:rFonts w:hint="eastAsia" w:ascii="方正楷体_GBK" w:eastAsia="方正楷体_GBK"/>
          <w:color w:val="000000"/>
          <w:sz w:val="32"/>
          <w:szCs w:val="32"/>
        </w:rPr>
      </w:pPr>
      <w:r>
        <w:rPr>
          <w:rFonts w:hint="eastAsia" w:ascii="方正楷体_GBK" w:hAnsi="楷体" w:eastAsia="方正楷体_GBK" w:cs="楷体"/>
          <w:color w:val="000000"/>
          <w:sz w:val="32"/>
          <w:szCs w:val="32"/>
          <w:shd w:val="clear" w:color="auto" w:fill="FFFFFF"/>
        </w:rPr>
        <w:t>（模板）</w:t>
      </w:r>
    </w:p>
    <w:p w14:paraId="0AB57E19">
      <w:pPr>
        <w:pStyle w:val="6"/>
        <w:shd w:val="clear" w:color="auto" w:fill="FFFFFF"/>
        <w:spacing w:before="0" w:beforeAutospacing="0" w:after="0" w:afterAutospacing="0" w:line="520" w:lineRule="exact"/>
        <w:rPr>
          <w:rFonts w:hint="eastAsia"/>
          <w:color w:val="000000"/>
        </w:rPr>
      </w:pPr>
      <w:r>
        <w:rPr>
          <w:rFonts w:hint="eastAsia"/>
          <w:color w:val="000000"/>
        </w:rPr>
        <w:t>_________________：</w:t>
      </w:r>
    </w:p>
    <w:p w14:paraId="207E2301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为提高土地利用水平，推动企业信用体系建设的健康发展，营造和谐发展、信守合同、公平竞争、规范有序的市场环境，树立企业诚信经营的形象，本企业郑重承诺如下：</w:t>
      </w:r>
    </w:p>
    <w:p w14:paraId="73008270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1.承担诚实守信、勤勉尽责义务，严格遵守国家和省的相关法律法规、政策和标准。</w:t>
      </w:r>
    </w:p>
    <w:p w14:paraId="5224F502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2.严格按照承诺的各项指标标准进行项目开发建设。</w:t>
      </w:r>
    </w:p>
    <w:p w14:paraId="46A5C90E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3.严格遵守《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“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标准地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>”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履约监管协议》相关要求，确保约定的目标如期实现。</w:t>
      </w:r>
    </w:p>
    <w:p w14:paraId="6EC6D0E6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4.承诺项目竣工后，配合相关部门对容积率、建筑密度、工程质量等相关指标进行竣工核验。</w:t>
      </w:r>
    </w:p>
    <w:p w14:paraId="74A896FC">
      <w:pPr>
        <w:pStyle w:val="6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5.承诺项目投产后，配合相关部门对固定资产投资强度、亩均税收等相关指标进行达产复核。本企业违反上述承诺的，自愿承担相应违约责任且你方有权不予办理、暂缓办理各项许可事宜。由此产生的任何法律责任和违约责任均由本企业自行承担，与你方无关，接受将失信违法行为纳入不良信用记录并向社会公开。</w:t>
      </w:r>
    </w:p>
    <w:p w14:paraId="40B9911E">
      <w:pPr>
        <w:pStyle w:val="6"/>
        <w:shd w:val="clear" w:color="auto" w:fill="FFFFFF"/>
        <w:spacing w:before="0" w:beforeAutospacing="0" w:after="0" w:afterAutospacing="0" w:line="520" w:lineRule="exact"/>
        <w:ind w:firstLine="4534" w:firstLineChars="1417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承诺单位（盖章）：</w:t>
      </w:r>
    </w:p>
    <w:p w14:paraId="2DD04C18">
      <w:pPr>
        <w:pStyle w:val="6"/>
        <w:shd w:val="clear" w:color="auto" w:fill="FFFFFF"/>
        <w:spacing w:before="0" w:beforeAutospacing="0" w:after="0" w:afterAutospacing="0" w:line="520" w:lineRule="exact"/>
        <w:ind w:firstLine="2265" w:firstLineChars="708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法定代表人或委托代理人（签章）：</w:t>
      </w:r>
    </w:p>
    <w:p w14:paraId="34B96287">
      <w:pPr>
        <w:pStyle w:val="6"/>
        <w:shd w:val="clear" w:color="auto" w:fill="FFFFFF"/>
        <w:spacing w:before="0" w:beforeAutospacing="0" w:after="0" w:afterAutospacing="0" w:line="520" w:lineRule="exact"/>
        <w:ind w:firstLine="3827" w:firstLineChars="1196"/>
        <w:rPr>
          <w:rFonts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承诺时间：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月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2041" w:right="1531" w:bottom="204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F783C">
    <w:pPr>
      <w:pStyle w:val="4"/>
      <w:framePr w:wrap="around" w:vAnchor="text" w:hAnchor="margin" w:xAlign="outside" w:y="1"/>
      <w:rPr>
        <w:rStyle w:val="11"/>
        <w:rFonts w:ascii="宋体" w:hAnsi="宋体" w:eastAsia="宋体"/>
        <w:sz w:val="28"/>
        <w:szCs w:val="28"/>
      </w:rPr>
    </w:pPr>
    <w:r>
      <w:rPr>
        <w:rStyle w:val="11"/>
        <w:rFonts w:hint="eastAsia" w:ascii="宋体" w:hAnsi="宋体" w:eastAsia="宋体"/>
        <w:sz w:val="28"/>
        <w:szCs w:val="28"/>
      </w:rPr>
      <w:t>—</w:t>
    </w:r>
    <w:r>
      <w:rPr>
        <w:rStyle w:val="11"/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Style w:val="11"/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7</w:t>
    </w:r>
    <w:r>
      <w:rPr>
        <w:rStyle w:val="11"/>
        <w:rFonts w:ascii="宋体" w:hAnsi="宋体" w:eastAsia="宋体"/>
        <w:sz w:val="28"/>
        <w:szCs w:val="28"/>
      </w:rPr>
      <w:fldChar w:fldCharType="end"/>
    </w:r>
    <w:r>
      <w:rPr>
        <w:rStyle w:val="11"/>
        <w:rFonts w:hint="eastAsia" w:ascii="宋体" w:hAnsi="宋体" w:eastAsia="宋体"/>
        <w:sz w:val="28"/>
        <w:szCs w:val="28"/>
      </w:rPr>
      <w:t>—</w:t>
    </w:r>
  </w:p>
  <w:p w14:paraId="4D932933">
    <w:pPr>
      <w:pStyle w:val="4"/>
      <w:ind w:right="360" w:firstLine="360"/>
    </w:pPr>
    <w:r>
      <w:pict>
        <v:shape id="文本框 4" o:spid="_x0000_s2049" o:spt="202" type="#_x0000_t202" style="position:absolute;left:0pt;margin-left:-0.6pt;margin-top:-0.15pt;height:12.05pt;width:9.05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86791B3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38396">
    <w:pPr>
      <w:pStyle w:val="4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1673A95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4403F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10FD"/>
    <w:rsid w:val="00001001"/>
    <w:rsid w:val="0000302A"/>
    <w:rsid w:val="00003F98"/>
    <w:rsid w:val="00006BB8"/>
    <w:rsid w:val="00010320"/>
    <w:rsid w:val="000118BD"/>
    <w:rsid w:val="00026ED0"/>
    <w:rsid w:val="0002795E"/>
    <w:rsid w:val="000334C8"/>
    <w:rsid w:val="00042AAC"/>
    <w:rsid w:val="0004381C"/>
    <w:rsid w:val="000455A9"/>
    <w:rsid w:val="000458E3"/>
    <w:rsid w:val="00057D31"/>
    <w:rsid w:val="000614DF"/>
    <w:rsid w:val="00062F43"/>
    <w:rsid w:val="000635ED"/>
    <w:rsid w:val="000649F8"/>
    <w:rsid w:val="00071A68"/>
    <w:rsid w:val="00074138"/>
    <w:rsid w:val="00077EC3"/>
    <w:rsid w:val="000B125F"/>
    <w:rsid w:val="000B2BEE"/>
    <w:rsid w:val="000C1674"/>
    <w:rsid w:val="000C3B50"/>
    <w:rsid w:val="000C5B98"/>
    <w:rsid w:val="000D2FAD"/>
    <w:rsid w:val="000D35DE"/>
    <w:rsid w:val="000D3701"/>
    <w:rsid w:val="000D3C63"/>
    <w:rsid w:val="000D3E6A"/>
    <w:rsid w:val="000E0569"/>
    <w:rsid w:val="000F3820"/>
    <w:rsid w:val="000F6962"/>
    <w:rsid w:val="000F6EB4"/>
    <w:rsid w:val="00110E00"/>
    <w:rsid w:val="00115081"/>
    <w:rsid w:val="00116BBB"/>
    <w:rsid w:val="00130709"/>
    <w:rsid w:val="00130B29"/>
    <w:rsid w:val="0013346F"/>
    <w:rsid w:val="001335A0"/>
    <w:rsid w:val="00142099"/>
    <w:rsid w:val="001546EC"/>
    <w:rsid w:val="001565C2"/>
    <w:rsid w:val="00160BF7"/>
    <w:rsid w:val="00164619"/>
    <w:rsid w:val="00164AD9"/>
    <w:rsid w:val="00165BF0"/>
    <w:rsid w:val="00173661"/>
    <w:rsid w:val="00180B1A"/>
    <w:rsid w:val="001810D7"/>
    <w:rsid w:val="00183B46"/>
    <w:rsid w:val="00184956"/>
    <w:rsid w:val="00185CE7"/>
    <w:rsid w:val="00197AA1"/>
    <w:rsid w:val="001A09A3"/>
    <w:rsid w:val="001A4413"/>
    <w:rsid w:val="001B386B"/>
    <w:rsid w:val="001B3BC6"/>
    <w:rsid w:val="001B7F6E"/>
    <w:rsid w:val="001D1EA9"/>
    <w:rsid w:val="001D215E"/>
    <w:rsid w:val="001E120C"/>
    <w:rsid w:val="001E28E6"/>
    <w:rsid w:val="001E574E"/>
    <w:rsid w:val="001E738B"/>
    <w:rsid w:val="001E78AE"/>
    <w:rsid w:val="001F2C2A"/>
    <w:rsid w:val="001F2C86"/>
    <w:rsid w:val="001F31A4"/>
    <w:rsid w:val="001F3C46"/>
    <w:rsid w:val="001F5839"/>
    <w:rsid w:val="001F5C8A"/>
    <w:rsid w:val="00210513"/>
    <w:rsid w:val="00217532"/>
    <w:rsid w:val="00217D1A"/>
    <w:rsid w:val="00240CEA"/>
    <w:rsid w:val="00242DF9"/>
    <w:rsid w:val="00246A61"/>
    <w:rsid w:val="00255CC8"/>
    <w:rsid w:val="0026018B"/>
    <w:rsid w:val="002661FD"/>
    <w:rsid w:val="00273277"/>
    <w:rsid w:val="0028646F"/>
    <w:rsid w:val="00290818"/>
    <w:rsid w:val="00292066"/>
    <w:rsid w:val="002936DF"/>
    <w:rsid w:val="002943F8"/>
    <w:rsid w:val="00294F58"/>
    <w:rsid w:val="002A13FE"/>
    <w:rsid w:val="002A77C0"/>
    <w:rsid w:val="002B0626"/>
    <w:rsid w:val="002B3734"/>
    <w:rsid w:val="002C700B"/>
    <w:rsid w:val="002D0100"/>
    <w:rsid w:val="002D29A1"/>
    <w:rsid w:val="002D768C"/>
    <w:rsid w:val="002E11FC"/>
    <w:rsid w:val="002F2E12"/>
    <w:rsid w:val="003072D6"/>
    <w:rsid w:val="003101C8"/>
    <w:rsid w:val="003137DF"/>
    <w:rsid w:val="0032136D"/>
    <w:rsid w:val="00325191"/>
    <w:rsid w:val="00330DB8"/>
    <w:rsid w:val="00332AEF"/>
    <w:rsid w:val="00332B38"/>
    <w:rsid w:val="00337013"/>
    <w:rsid w:val="00337F29"/>
    <w:rsid w:val="003416F8"/>
    <w:rsid w:val="00344278"/>
    <w:rsid w:val="00344D43"/>
    <w:rsid w:val="00345C85"/>
    <w:rsid w:val="003548FB"/>
    <w:rsid w:val="003625C2"/>
    <w:rsid w:val="003738BF"/>
    <w:rsid w:val="00374699"/>
    <w:rsid w:val="003751EE"/>
    <w:rsid w:val="00377059"/>
    <w:rsid w:val="003B009C"/>
    <w:rsid w:val="003B362F"/>
    <w:rsid w:val="003B44DB"/>
    <w:rsid w:val="003C07BD"/>
    <w:rsid w:val="003D0E5F"/>
    <w:rsid w:val="003D10FD"/>
    <w:rsid w:val="003F66B5"/>
    <w:rsid w:val="00400578"/>
    <w:rsid w:val="0040544C"/>
    <w:rsid w:val="00414848"/>
    <w:rsid w:val="004152AA"/>
    <w:rsid w:val="00417538"/>
    <w:rsid w:val="00423544"/>
    <w:rsid w:val="004347A7"/>
    <w:rsid w:val="004373DA"/>
    <w:rsid w:val="00442862"/>
    <w:rsid w:val="004634F8"/>
    <w:rsid w:val="00470236"/>
    <w:rsid w:val="00477008"/>
    <w:rsid w:val="004879B8"/>
    <w:rsid w:val="00487E83"/>
    <w:rsid w:val="004908D9"/>
    <w:rsid w:val="004960D2"/>
    <w:rsid w:val="004B04DA"/>
    <w:rsid w:val="004B1387"/>
    <w:rsid w:val="004B24A0"/>
    <w:rsid w:val="004B739E"/>
    <w:rsid w:val="004C076B"/>
    <w:rsid w:val="004D139C"/>
    <w:rsid w:val="004D4FE7"/>
    <w:rsid w:val="004E328C"/>
    <w:rsid w:val="004E6087"/>
    <w:rsid w:val="004F046F"/>
    <w:rsid w:val="004F233B"/>
    <w:rsid w:val="004F4B79"/>
    <w:rsid w:val="004F578F"/>
    <w:rsid w:val="004F6D94"/>
    <w:rsid w:val="00503B49"/>
    <w:rsid w:val="00505C42"/>
    <w:rsid w:val="00514F77"/>
    <w:rsid w:val="00526615"/>
    <w:rsid w:val="00526C5B"/>
    <w:rsid w:val="0053109A"/>
    <w:rsid w:val="0053533F"/>
    <w:rsid w:val="005375F6"/>
    <w:rsid w:val="005418BA"/>
    <w:rsid w:val="00551025"/>
    <w:rsid w:val="0055272F"/>
    <w:rsid w:val="0056397C"/>
    <w:rsid w:val="005639B5"/>
    <w:rsid w:val="005651A4"/>
    <w:rsid w:val="00570A18"/>
    <w:rsid w:val="00572E44"/>
    <w:rsid w:val="00574C1A"/>
    <w:rsid w:val="00581105"/>
    <w:rsid w:val="00592361"/>
    <w:rsid w:val="0059343C"/>
    <w:rsid w:val="0059572F"/>
    <w:rsid w:val="00597F25"/>
    <w:rsid w:val="005A2C7E"/>
    <w:rsid w:val="005A4415"/>
    <w:rsid w:val="005B242F"/>
    <w:rsid w:val="005B33C1"/>
    <w:rsid w:val="005B54FE"/>
    <w:rsid w:val="005B666F"/>
    <w:rsid w:val="005C36BE"/>
    <w:rsid w:val="005C3F62"/>
    <w:rsid w:val="005C3F8C"/>
    <w:rsid w:val="005D457C"/>
    <w:rsid w:val="005D7307"/>
    <w:rsid w:val="005E79A5"/>
    <w:rsid w:val="005F11EF"/>
    <w:rsid w:val="00600CCD"/>
    <w:rsid w:val="00612E99"/>
    <w:rsid w:val="00620401"/>
    <w:rsid w:val="0062071D"/>
    <w:rsid w:val="006210F1"/>
    <w:rsid w:val="00630815"/>
    <w:rsid w:val="0063679B"/>
    <w:rsid w:val="00641408"/>
    <w:rsid w:val="00651C59"/>
    <w:rsid w:val="00653B9A"/>
    <w:rsid w:val="00655C80"/>
    <w:rsid w:val="00660EEF"/>
    <w:rsid w:val="00661723"/>
    <w:rsid w:val="00665A21"/>
    <w:rsid w:val="0067378F"/>
    <w:rsid w:val="00673931"/>
    <w:rsid w:val="00684172"/>
    <w:rsid w:val="006866A1"/>
    <w:rsid w:val="00693E25"/>
    <w:rsid w:val="00693FA8"/>
    <w:rsid w:val="006960C5"/>
    <w:rsid w:val="006A1C1A"/>
    <w:rsid w:val="006A1CA9"/>
    <w:rsid w:val="006A4D07"/>
    <w:rsid w:val="006B1084"/>
    <w:rsid w:val="006B69C5"/>
    <w:rsid w:val="006C1F98"/>
    <w:rsid w:val="006C4DC6"/>
    <w:rsid w:val="006C750F"/>
    <w:rsid w:val="006D06C7"/>
    <w:rsid w:val="006D1058"/>
    <w:rsid w:val="006D3132"/>
    <w:rsid w:val="006D406F"/>
    <w:rsid w:val="006E394E"/>
    <w:rsid w:val="006E5B5F"/>
    <w:rsid w:val="006F11B1"/>
    <w:rsid w:val="006F56D5"/>
    <w:rsid w:val="006F7DDB"/>
    <w:rsid w:val="007022FB"/>
    <w:rsid w:val="007052CB"/>
    <w:rsid w:val="00707D95"/>
    <w:rsid w:val="00710EA3"/>
    <w:rsid w:val="007114C7"/>
    <w:rsid w:val="00713724"/>
    <w:rsid w:val="007143D6"/>
    <w:rsid w:val="00714A09"/>
    <w:rsid w:val="00722EAB"/>
    <w:rsid w:val="0072551D"/>
    <w:rsid w:val="00725EAE"/>
    <w:rsid w:val="00732216"/>
    <w:rsid w:val="00734D8B"/>
    <w:rsid w:val="00735193"/>
    <w:rsid w:val="007400EE"/>
    <w:rsid w:val="007560BB"/>
    <w:rsid w:val="007627C3"/>
    <w:rsid w:val="00763922"/>
    <w:rsid w:val="00763978"/>
    <w:rsid w:val="00763DA0"/>
    <w:rsid w:val="007669B9"/>
    <w:rsid w:val="00766D87"/>
    <w:rsid w:val="00773F8F"/>
    <w:rsid w:val="007752FC"/>
    <w:rsid w:val="00784BB7"/>
    <w:rsid w:val="0078685B"/>
    <w:rsid w:val="007914C7"/>
    <w:rsid w:val="007928CB"/>
    <w:rsid w:val="00794A1E"/>
    <w:rsid w:val="007A0164"/>
    <w:rsid w:val="007A0E56"/>
    <w:rsid w:val="007A1953"/>
    <w:rsid w:val="007A4555"/>
    <w:rsid w:val="007B22F8"/>
    <w:rsid w:val="007B638D"/>
    <w:rsid w:val="007C2473"/>
    <w:rsid w:val="007C5201"/>
    <w:rsid w:val="007D443D"/>
    <w:rsid w:val="007E01CD"/>
    <w:rsid w:val="007E21C1"/>
    <w:rsid w:val="007F4A18"/>
    <w:rsid w:val="00804F45"/>
    <w:rsid w:val="0080775F"/>
    <w:rsid w:val="008272DA"/>
    <w:rsid w:val="00830880"/>
    <w:rsid w:val="00834353"/>
    <w:rsid w:val="00834A32"/>
    <w:rsid w:val="00841560"/>
    <w:rsid w:val="00843371"/>
    <w:rsid w:val="00845579"/>
    <w:rsid w:val="008534BE"/>
    <w:rsid w:val="00855F5D"/>
    <w:rsid w:val="00864892"/>
    <w:rsid w:val="00871F5B"/>
    <w:rsid w:val="0087682A"/>
    <w:rsid w:val="00891583"/>
    <w:rsid w:val="008A1551"/>
    <w:rsid w:val="008B20DD"/>
    <w:rsid w:val="008B2453"/>
    <w:rsid w:val="008B2467"/>
    <w:rsid w:val="008B2CA4"/>
    <w:rsid w:val="008B2CE3"/>
    <w:rsid w:val="008B403E"/>
    <w:rsid w:val="008B6CAE"/>
    <w:rsid w:val="008C1301"/>
    <w:rsid w:val="008C315A"/>
    <w:rsid w:val="008D3AF4"/>
    <w:rsid w:val="008E49A8"/>
    <w:rsid w:val="008F2899"/>
    <w:rsid w:val="008F5702"/>
    <w:rsid w:val="008F7D84"/>
    <w:rsid w:val="00901448"/>
    <w:rsid w:val="009042AB"/>
    <w:rsid w:val="00920493"/>
    <w:rsid w:val="00922135"/>
    <w:rsid w:val="00934027"/>
    <w:rsid w:val="0093695D"/>
    <w:rsid w:val="00950FB2"/>
    <w:rsid w:val="009535AB"/>
    <w:rsid w:val="00954587"/>
    <w:rsid w:val="009575E3"/>
    <w:rsid w:val="00967A55"/>
    <w:rsid w:val="0097719C"/>
    <w:rsid w:val="00977AB2"/>
    <w:rsid w:val="009914F1"/>
    <w:rsid w:val="009955FC"/>
    <w:rsid w:val="009A2786"/>
    <w:rsid w:val="009B096B"/>
    <w:rsid w:val="009B3363"/>
    <w:rsid w:val="009B589A"/>
    <w:rsid w:val="009C5C3D"/>
    <w:rsid w:val="009D1E4C"/>
    <w:rsid w:val="009D79A9"/>
    <w:rsid w:val="009D7E7F"/>
    <w:rsid w:val="009E41BA"/>
    <w:rsid w:val="009E7559"/>
    <w:rsid w:val="009F25A6"/>
    <w:rsid w:val="009F3711"/>
    <w:rsid w:val="00A002F0"/>
    <w:rsid w:val="00A027CA"/>
    <w:rsid w:val="00A0428D"/>
    <w:rsid w:val="00A06C63"/>
    <w:rsid w:val="00A117DD"/>
    <w:rsid w:val="00A161DC"/>
    <w:rsid w:val="00A23F97"/>
    <w:rsid w:val="00A307E9"/>
    <w:rsid w:val="00A418CF"/>
    <w:rsid w:val="00A4410A"/>
    <w:rsid w:val="00A45D49"/>
    <w:rsid w:val="00A50060"/>
    <w:rsid w:val="00A509D3"/>
    <w:rsid w:val="00A5123E"/>
    <w:rsid w:val="00A53286"/>
    <w:rsid w:val="00A5521A"/>
    <w:rsid w:val="00A63AAD"/>
    <w:rsid w:val="00A72EC7"/>
    <w:rsid w:val="00A7380D"/>
    <w:rsid w:val="00A73A63"/>
    <w:rsid w:val="00A73F8C"/>
    <w:rsid w:val="00A73FE9"/>
    <w:rsid w:val="00A76401"/>
    <w:rsid w:val="00A80719"/>
    <w:rsid w:val="00A94FF0"/>
    <w:rsid w:val="00AA14D1"/>
    <w:rsid w:val="00AA6DC2"/>
    <w:rsid w:val="00AB1022"/>
    <w:rsid w:val="00AB5DA1"/>
    <w:rsid w:val="00AC2BC2"/>
    <w:rsid w:val="00AD103C"/>
    <w:rsid w:val="00AD12A0"/>
    <w:rsid w:val="00AD2D9B"/>
    <w:rsid w:val="00AD55FC"/>
    <w:rsid w:val="00AD6E0B"/>
    <w:rsid w:val="00AE036A"/>
    <w:rsid w:val="00AE30F5"/>
    <w:rsid w:val="00AF77B3"/>
    <w:rsid w:val="00B014F9"/>
    <w:rsid w:val="00B074A8"/>
    <w:rsid w:val="00B247E7"/>
    <w:rsid w:val="00B26C02"/>
    <w:rsid w:val="00B31153"/>
    <w:rsid w:val="00B417EA"/>
    <w:rsid w:val="00B53C44"/>
    <w:rsid w:val="00B71E93"/>
    <w:rsid w:val="00B80470"/>
    <w:rsid w:val="00B86D5F"/>
    <w:rsid w:val="00B90A9F"/>
    <w:rsid w:val="00B91032"/>
    <w:rsid w:val="00B969AE"/>
    <w:rsid w:val="00BA0CB3"/>
    <w:rsid w:val="00BA14EE"/>
    <w:rsid w:val="00BA4707"/>
    <w:rsid w:val="00BA4ECD"/>
    <w:rsid w:val="00BA5E86"/>
    <w:rsid w:val="00BC215B"/>
    <w:rsid w:val="00BC4BA6"/>
    <w:rsid w:val="00BC4F63"/>
    <w:rsid w:val="00BD6C01"/>
    <w:rsid w:val="00BD7127"/>
    <w:rsid w:val="00BE1505"/>
    <w:rsid w:val="00BE1CC4"/>
    <w:rsid w:val="00BE65C4"/>
    <w:rsid w:val="00BF0FF1"/>
    <w:rsid w:val="00BF13BE"/>
    <w:rsid w:val="00C10C40"/>
    <w:rsid w:val="00C15C3D"/>
    <w:rsid w:val="00C209AF"/>
    <w:rsid w:val="00C21434"/>
    <w:rsid w:val="00C217FB"/>
    <w:rsid w:val="00C25B21"/>
    <w:rsid w:val="00C2740D"/>
    <w:rsid w:val="00C275BA"/>
    <w:rsid w:val="00C331BD"/>
    <w:rsid w:val="00C33FD5"/>
    <w:rsid w:val="00C35861"/>
    <w:rsid w:val="00C427B1"/>
    <w:rsid w:val="00C44E96"/>
    <w:rsid w:val="00C63E1F"/>
    <w:rsid w:val="00C64627"/>
    <w:rsid w:val="00C652E7"/>
    <w:rsid w:val="00C6747D"/>
    <w:rsid w:val="00C7000D"/>
    <w:rsid w:val="00C70BD7"/>
    <w:rsid w:val="00C74611"/>
    <w:rsid w:val="00C805CC"/>
    <w:rsid w:val="00C845B5"/>
    <w:rsid w:val="00C91221"/>
    <w:rsid w:val="00C960E1"/>
    <w:rsid w:val="00C97113"/>
    <w:rsid w:val="00CA2CEC"/>
    <w:rsid w:val="00CA42B8"/>
    <w:rsid w:val="00CA49A0"/>
    <w:rsid w:val="00CC6EA2"/>
    <w:rsid w:val="00CD4E35"/>
    <w:rsid w:val="00CD57C6"/>
    <w:rsid w:val="00CE4B8B"/>
    <w:rsid w:val="00CF1D21"/>
    <w:rsid w:val="00CF2654"/>
    <w:rsid w:val="00CF2CB2"/>
    <w:rsid w:val="00D02747"/>
    <w:rsid w:val="00D0736D"/>
    <w:rsid w:val="00D15142"/>
    <w:rsid w:val="00D16345"/>
    <w:rsid w:val="00D16C66"/>
    <w:rsid w:val="00D213BD"/>
    <w:rsid w:val="00D23217"/>
    <w:rsid w:val="00D25062"/>
    <w:rsid w:val="00D33281"/>
    <w:rsid w:val="00D42A4E"/>
    <w:rsid w:val="00D43007"/>
    <w:rsid w:val="00D54074"/>
    <w:rsid w:val="00D6145D"/>
    <w:rsid w:val="00D63BFC"/>
    <w:rsid w:val="00D656DD"/>
    <w:rsid w:val="00D76C05"/>
    <w:rsid w:val="00D81CD0"/>
    <w:rsid w:val="00D841F8"/>
    <w:rsid w:val="00DA7E84"/>
    <w:rsid w:val="00DB13DE"/>
    <w:rsid w:val="00DB1ACD"/>
    <w:rsid w:val="00DC1570"/>
    <w:rsid w:val="00DE3396"/>
    <w:rsid w:val="00DE58AA"/>
    <w:rsid w:val="00DF65D4"/>
    <w:rsid w:val="00DF696D"/>
    <w:rsid w:val="00E0225D"/>
    <w:rsid w:val="00E03331"/>
    <w:rsid w:val="00E03513"/>
    <w:rsid w:val="00E1180D"/>
    <w:rsid w:val="00E13F6D"/>
    <w:rsid w:val="00E15DF3"/>
    <w:rsid w:val="00E30090"/>
    <w:rsid w:val="00E31526"/>
    <w:rsid w:val="00E33C93"/>
    <w:rsid w:val="00E37B87"/>
    <w:rsid w:val="00E41A89"/>
    <w:rsid w:val="00E509FB"/>
    <w:rsid w:val="00E54603"/>
    <w:rsid w:val="00E74A9A"/>
    <w:rsid w:val="00E7561B"/>
    <w:rsid w:val="00E81218"/>
    <w:rsid w:val="00E815B2"/>
    <w:rsid w:val="00E95F7B"/>
    <w:rsid w:val="00EA186C"/>
    <w:rsid w:val="00EA1B75"/>
    <w:rsid w:val="00EA300E"/>
    <w:rsid w:val="00EA5A54"/>
    <w:rsid w:val="00EB407E"/>
    <w:rsid w:val="00EC3376"/>
    <w:rsid w:val="00EE17BC"/>
    <w:rsid w:val="00EE77EA"/>
    <w:rsid w:val="00EF10A3"/>
    <w:rsid w:val="00EF5B7C"/>
    <w:rsid w:val="00EF6BD5"/>
    <w:rsid w:val="00F00F1B"/>
    <w:rsid w:val="00F0367A"/>
    <w:rsid w:val="00F108DE"/>
    <w:rsid w:val="00F148ED"/>
    <w:rsid w:val="00F16D6E"/>
    <w:rsid w:val="00F27AB6"/>
    <w:rsid w:val="00F36663"/>
    <w:rsid w:val="00F41595"/>
    <w:rsid w:val="00F43378"/>
    <w:rsid w:val="00F445D6"/>
    <w:rsid w:val="00F46EF1"/>
    <w:rsid w:val="00F53478"/>
    <w:rsid w:val="00F53B27"/>
    <w:rsid w:val="00F56DCA"/>
    <w:rsid w:val="00F577E0"/>
    <w:rsid w:val="00F57A94"/>
    <w:rsid w:val="00F57BF5"/>
    <w:rsid w:val="00F615E6"/>
    <w:rsid w:val="00F61D9A"/>
    <w:rsid w:val="00F63B73"/>
    <w:rsid w:val="00F714CD"/>
    <w:rsid w:val="00F72869"/>
    <w:rsid w:val="00F7354E"/>
    <w:rsid w:val="00F803E3"/>
    <w:rsid w:val="00F904EB"/>
    <w:rsid w:val="00F906B1"/>
    <w:rsid w:val="00F938B5"/>
    <w:rsid w:val="00FC5108"/>
    <w:rsid w:val="00FD361F"/>
    <w:rsid w:val="00FE1F81"/>
    <w:rsid w:val="00FF40BA"/>
    <w:rsid w:val="00FF5F46"/>
    <w:rsid w:val="00FF6C09"/>
    <w:rsid w:val="2074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35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rFonts w:eastAsia="Times New Roman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脚 Char"/>
    <w:basedOn w:val="9"/>
    <w:link w:val="4"/>
    <w:uiPriority w:val="0"/>
    <w:rPr>
      <w:kern w:val="2"/>
      <w:sz w:val="18"/>
      <w:szCs w:val="18"/>
      <w:lang w:bidi="ar-SA"/>
    </w:rPr>
  </w:style>
  <w:style w:type="character" w:customStyle="1" w:styleId="13">
    <w:name w:val="页眉 Char"/>
    <w:basedOn w:val="9"/>
    <w:link w:val="5"/>
    <w:uiPriority w:val="0"/>
    <w:rPr>
      <w:kern w:val="2"/>
      <w:sz w:val="18"/>
      <w:szCs w:val="18"/>
      <w:lang w:bidi="ar-SA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30"/>
    <customShpInfo spid="_x0000_s1031"/>
    <customShpInfo spid="_x0000_s1034"/>
    <customShpInfo spid="_x0000_s1035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9ADC3B-65C3-4D0A-B026-D08FB2C578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10</Pages>
  <Words>4222</Words>
  <Characters>4592</Characters>
  <Lines>35</Lines>
  <Paragraphs>9</Paragraphs>
  <TotalTime>144</TotalTime>
  <ScaleCrop>false</ScaleCrop>
  <LinksUpToDate>false</LinksUpToDate>
  <CharactersWithSpaces>4690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2024-05-27T07:12:00Z</dcterms:created>
  <dc:creator>微软用户</dc:creator>
  <cp:lastModifiedBy>Administrator</cp:lastModifiedBy>
  <cp:lastPrinted>2026-06-29T09:40:00Z</cp:lastPrinted>
  <dcterms:modified xsi:type="dcterms:W3CDTF">2026-07-10T01:44:42Z</dcterms:modified>
  <dc:title>洮政办函〔2016〕 号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eyJoZGlkIjoiNWNkZjFiZTlhN2YxOTBhYzdmZGY0OGU3MWI1MzY1OWIifQ==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BCF04B6DB72844BEBC1605ADD653C4DD_12</vt:lpwstr>
  </property>
</Properties>
</file>