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0"/>
        <w:tblW w:w="15500" w:type="dxa"/>
        <w:tblLook w:val="04A0"/>
      </w:tblPr>
      <w:tblGrid>
        <w:gridCol w:w="418"/>
        <w:gridCol w:w="756"/>
        <w:gridCol w:w="643"/>
        <w:gridCol w:w="643"/>
        <w:gridCol w:w="793"/>
        <w:gridCol w:w="575"/>
        <w:gridCol w:w="558"/>
        <w:gridCol w:w="569"/>
        <w:gridCol w:w="587"/>
        <w:gridCol w:w="73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94"/>
        <w:gridCol w:w="494"/>
        <w:gridCol w:w="666"/>
        <w:gridCol w:w="494"/>
        <w:gridCol w:w="692"/>
        <w:gridCol w:w="681"/>
      </w:tblGrid>
      <w:tr w:rsidR="005C2B7C" w:rsidRPr="002711E6" w:rsidTr="00794ABD">
        <w:trPr>
          <w:trHeight w:val="418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711E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C2B7C" w:rsidRPr="0097286C" w:rsidTr="00794ABD">
        <w:trPr>
          <w:trHeight w:val="380"/>
        </w:trPr>
        <w:tc>
          <w:tcPr>
            <w:tcW w:w="155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97286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“土地执法百日攻坚”违法违规问题清理排查情况统计表</w:t>
            </w:r>
          </w:p>
        </w:tc>
      </w:tr>
      <w:tr w:rsidR="005C2B7C" w:rsidRPr="0097286C" w:rsidTr="00794ABD">
        <w:trPr>
          <w:trHeight w:val="317"/>
        </w:trPr>
        <w:tc>
          <w:tcPr>
            <w:tcW w:w="6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填表单位：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单位：平方米、公顷、万元</w:t>
            </w:r>
          </w:p>
        </w:tc>
      </w:tr>
      <w:tr w:rsidR="005C2B7C" w:rsidRPr="0097286C" w:rsidTr="00794ABD">
        <w:trPr>
          <w:trHeight w:val="371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用地主体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用地项目名称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违法占地面积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立案查处情况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非立案处理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是否属于“另案处理”问题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C2B7C" w:rsidRPr="0097286C" w:rsidTr="00794ABD">
        <w:trPr>
          <w:trHeight w:val="598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耕地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立案时间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收缴罚款金额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实际没收建（构）筑物及退还土地面积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实际拆除建（构）筑物及退还土地面积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申请法院强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制执行情况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移送公安机关追究刑事责任情况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移送纪委监委</w:t>
            </w:r>
            <w:proofErr w:type="gramStart"/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追究党</w:t>
            </w:r>
            <w:proofErr w:type="gramEnd"/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政纪责任情况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结案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是否消除违法状态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拆除建（构)筑物面积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复垦复耕面积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C2B7C" w:rsidRPr="0097286C" w:rsidTr="00794ABD">
        <w:trPr>
          <w:trHeight w:val="8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基本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农田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56" w:left="-118"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7" w:left="-57" w:rightChars="-51" w:right="-107" w:firstLineChars="7" w:firstLine="13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退还土地面积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50" w:left="-105" w:rightChars="-28" w:right="-59" w:firstLineChars="1" w:firstLine="2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拆除建筑面积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74" w:left="-155" w:firstLineChars="1" w:firstLine="2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退还土地面积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30" w:left="-63" w:rightChars="-48" w:right="-101" w:firstLineChars="1" w:firstLine="2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复垦复耕面积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55" w:left="-115" w:rightChars="-24" w:right="-50" w:firstLine="1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申请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是否执行到位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移送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实际追究人数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移送</w:t>
            </w: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ind w:leftChars="-2" w:rightChars="-49" w:right="-103" w:hangingChars="2" w:hanging="4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7286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实际追究人数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7C" w:rsidRPr="0097286C" w:rsidRDefault="005C2B7C" w:rsidP="00794ABD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C2B7C" w:rsidRPr="002711E6" w:rsidTr="00794ABD">
        <w:trPr>
          <w:trHeight w:val="4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B7C" w:rsidRPr="002711E6" w:rsidTr="00794ABD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B7C" w:rsidRPr="002711E6" w:rsidTr="00794ABD">
        <w:trPr>
          <w:trHeight w:val="3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B7C" w:rsidRPr="002711E6" w:rsidTr="00794ABD">
        <w:trPr>
          <w:trHeight w:val="4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ind w:leftChars="-56" w:left="-118" w:rightChars="-40" w:right="-84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ind w:leftChars="-56" w:left="-118" w:rightChars="-40" w:right="-84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B7C" w:rsidRPr="002711E6" w:rsidTr="00794ABD">
        <w:trPr>
          <w:trHeight w:val="525"/>
        </w:trPr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填表人：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填表时间：  年   月   日      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C2B7C" w:rsidRPr="002711E6" w:rsidTr="00794ABD">
        <w:trPr>
          <w:trHeight w:val="2696"/>
        </w:trPr>
        <w:tc>
          <w:tcPr>
            <w:tcW w:w="155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7C" w:rsidRPr="002711E6" w:rsidRDefault="005C2B7C" w:rsidP="00794ABD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填表说明：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>1.此表由各县（市、区）负责填报，市（州）审核后于5月15日前上报省自然资源厅。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>2.“用途”栏</w:t>
            </w:r>
            <w:proofErr w:type="gramStart"/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按下拉</w:t>
            </w:r>
            <w:proofErr w:type="gramEnd"/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选项类型选择，包括：①住宅（不含别墅、庄园用地）；②别墅、庄园用地；③工矿仓储用地；④商服用地；⑤公共管理与公共服务用地；⑥特殊用地；⑦交通运输用地；⑧水域及水利设施用地；⑨其他用地等，共9类。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>3.各县（市、区）要将“大棚房”问题清理整治专项行动中列入“另案处理”的所有问题纳入此表统计，属于“另案处理”的，在“是否属于‘另案处理’问题”栏中填写“是”，不是的填“否”；属违法问题的，在“立案查处情况”和“非立案处理”栏中填写相应内容；不属于违法问题的，在“备注”栏中填写说明。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>4.消除违法状态标准，是指下达的行政处罚决定书中的内容全部执行到位，给予责令退还土地处罚的，土地已退还至土地权利人或者管理者手中（完善用地审批手续，也视为退还到位）；给予拆除新建设物、构筑物和其他设施、恢复土地原状处罚的，建筑物、构筑物和其他设施等已全部拆除并清理干净，恢复土地原有状况或者更好；涉及农用地的，应恢复种植条件，能从事农业生产活动；具备用地条件的，依法查处后用地审批手续补办齐全。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>5.没有填写申请法院强制执行情况“受理时间”栏的，请在“备注”栏中说明原因。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 w:type="page"/>
              <w:t xml:space="preserve">6.拆除建筑面积单位为平方米，退还、复耕土地面积单位为公顷，收缴罚款金额单位为万元，小数点后保留两位。                            </w:t>
            </w:r>
          </w:p>
        </w:tc>
      </w:tr>
    </w:tbl>
    <w:p w:rsidR="000450F1" w:rsidRPr="005C2B7C" w:rsidRDefault="000450F1"/>
    <w:sectPr w:rsidR="000450F1" w:rsidRPr="005C2B7C" w:rsidSect="005C2B7C"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B7C"/>
    <w:rsid w:val="000450F1"/>
    <w:rsid w:val="005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2019-08-02T00:33:00Z</dcterms:created>
  <dcterms:modified xsi:type="dcterms:W3CDTF">2019-08-02T00:35:00Z</dcterms:modified>
</cp:coreProperties>
</file>