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仿宋_GB2312" w:hAnsi="Calibri" w:eastAsia="仿宋_GB2312" w:cs="仿宋_GB2312"/>
          <w:b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 w:val="0"/>
          <w:kern w:val="0"/>
          <w:sz w:val="44"/>
          <w:szCs w:val="44"/>
          <w:lang w:val="en-US" w:eastAsia="zh-CN" w:bidi="ar"/>
        </w:rPr>
        <w:t>洮南市永久征地补偿标准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仿宋_GB2312" w:hAnsi="Calibri" w:eastAsia="仿宋_GB2312" w:cs="仿宋_GB2312"/>
          <w:b/>
          <w:bCs w:val="0"/>
          <w:kern w:val="0"/>
          <w:sz w:val="32"/>
          <w:szCs w:val="32"/>
          <w:lang w:val="en-US" w:eastAsia="zh-CN" w:bidi="ar"/>
        </w:rPr>
      </w:pP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3071"/>
        <w:gridCol w:w="1471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地类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标准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土地补偿费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安置补助费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菜田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统一年产值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×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25倍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旱田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统一年产值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×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25倍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水田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统一年产值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×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25倍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林地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统一年产值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×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12倍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草原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天然草地统一年产值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×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  <w:bookmarkStart w:id="0" w:name="_GoBack"/>
            <w:bookmarkEnd w:id="0"/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2倍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人工草地统一年产值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×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14倍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</w:tbl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eastAsia="仿宋_GB2312" w:cs="仿宋_GB2312"/>
          <w:sz w:val="10"/>
          <w:szCs w:val="10"/>
          <w:lang w:val="en-US"/>
        </w:rPr>
      </w:pPr>
    </w:p>
    <w:p>
      <w:pPr>
        <w:rPr>
          <w:rFonts w:hint="eastAsia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64015"/>
    <w:rsid w:val="0068754E"/>
    <w:rsid w:val="0AD6401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SKY-20180523UX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2018-09-07T06:41:00Z</dcterms:created>
  <dc:creator>Administrator</dc:creator>
  <cp:lastModifiedBy>Administrator</cp:lastModifiedBy>
  <dcterms:modified xsi:type="dcterms:W3CDTF">2018-09-07T06:45:03Z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